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D960F" w14:textId="77777777" w:rsidR="00C54F04" w:rsidRDefault="00C54F04">
      <w:pPr>
        <w:jc w:val="center"/>
        <w:rPr>
          <w:rFonts w:ascii="宋体"/>
          <w:b/>
          <w:sz w:val="32"/>
          <w:szCs w:val="32"/>
        </w:rPr>
      </w:pPr>
    </w:p>
    <w:p w14:paraId="03D28B01" w14:textId="77777777" w:rsidR="00C54F04" w:rsidRDefault="00C54F04">
      <w:pPr>
        <w:jc w:val="center"/>
        <w:rPr>
          <w:rFonts w:ascii="宋体"/>
          <w:b/>
          <w:sz w:val="32"/>
          <w:szCs w:val="32"/>
        </w:rPr>
      </w:pPr>
    </w:p>
    <w:p w14:paraId="3F2B58C4" w14:textId="77777777" w:rsidR="00C54F04" w:rsidRDefault="00C54F04">
      <w:pPr>
        <w:jc w:val="center"/>
        <w:rPr>
          <w:rFonts w:ascii="宋体"/>
          <w:b/>
          <w:sz w:val="32"/>
          <w:szCs w:val="32"/>
        </w:rPr>
      </w:pPr>
    </w:p>
    <w:p w14:paraId="7CF921E7" w14:textId="77777777" w:rsidR="00C54F04" w:rsidRDefault="0000000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14:paraId="7C969ECA" w14:textId="77777777" w:rsidR="00C54F04" w:rsidRDefault="0000000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酥梨水肥一体化技术规程</w:t>
      </w: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》</w:t>
      </w:r>
    </w:p>
    <w:p w14:paraId="39569F99" w14:textId="77777777" w:rsidR="00C54F04" w:rsidRDefault="00000000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14:paraId="4B357FEE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5E79B503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7E220EF9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7BA57352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1545FD37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390FD42A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2F4B170A" w14:textId="77777777" w:rsidR="00C54F04" w:rsidRDefault="00C54F04">
      <w:pPr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</w:p>
    <w:p w14:paraId="6EBFB4EB" w14:textId="77777777" w:rsidR="00C54F04" w:rsidRDefault="00C54F04">
      <w:pPr>
        <w:ind w:firstLineChars="200" w:firstLine="643"/>
        <w:jc w:val="center"/>
        <w:rPr>
          <w:rFonts w:ascii="仿宋" w:eastAsia="仿宋" w:hAnsi="仿宋" w:hint="eastAsia"/>
          <w:b/>
          <w:sz w:val="32"/>
          <w:szCs w:val="32"/>
        </w:rPr>
      </w:pPr>
    </w:p>
    <w:p w14:paraId="4B8C96DA" w14:textId="77777777" w:rsidR="00C54F04" w:rsidRDefault="00C54F04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6B841038" w14:textId="77777777" w:rsidR="00C54F04" w:rsidRDefault="00C54F04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446F2B2E" w14:textId="77777777" w:rsidR="00C54F04" w:rsidRDefault="00C54F04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14:paraId="77D860D8" w14:textId="77777777" w:rsidR="00C54F04" w:rsidRDefault="00000000">
      <w:pPr>
        <w:spacing w:line="360" w:lineRule="auto"/>
        <w:jc w:val="center"/>
        <w:rPr>
          <w:rFonts w:ascii="宋体" w:hAnsi="宋体" w:hint="eastAsia"/>
          <w:b/>
          <w:kern w:val="22"/>
          <w:sz w:val="32"/>
          <w:szCs w:val="32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编制单位：山西农业大学、山西益田农业科技有限公司</w:t>
      </w:r>
    </w:p>
    <w:p w14:paraId="43083634" w14:textId="77777777" w:rsidR="00C54F04" w:rsidRDefault="00000000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二〇二四年一月</w:t>
      </w:r>
    </w:p>
    <w:p w14:paraId="2D144CEC" w14:textId="77777777" w:rsidR="00C54F04" w:rsidRDefault="00C54F04">
      <w:pPr>
        <w:jc w:val="center"/>
        <w:rPr>
          <w:rFonts w:ascii="宋体" w:hAnsi="宋体" w:hint="eastAsia"/>
          <w:b/>
          <w:sz w:val="32"/>
          <w:szCs w:val="32"/>
        </w:rPr>
      </w:pPr>
    </w:p>
    <w:p w14:paraId="7ED7C003" w14:textId="77777777" w:rsidR="00C54F04" w:rsidRDefault="00C54F04">
      <w:pPr>
        <w:jc w:val="center"/>
        <w:rPr>
          <w:rFonts w:ascii="宋体" w:hAnsi="宋体" w:hint="eastAsia"/>
          <w:b/>
          <w:sz w:val="32"/>
          <w:szCs w:val="32"/>
        </w:rPr>
      </w:pPr>
    </w:p>
    <w:p w14:paraId="7FD2DEA8" w14:textId="77777777" w:rsidR="00CF366B" w:rsidRDefault="00CF366B">
      <w:pPr>
        <w:jc w:val="center"/>
        <w:rPr>
          <w:rFonts w:ascii="宋体" w:hAnsi="宋体" w:hint="eastAsia"/>
          <w:b/>
          <w:sz w:val="32"/>
          <w:szCs w:val="32"/>
        </w:rPr>
        <w:sectPr w:rsidR="00CF366B">
          <w:footerReference w:type="default" r:id="rId7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14:paraId="35EE41D4" w14:textId="77777777" w:rsidR="00C54F04" w:rsidRDefault="00C54F04">
      <w:pPr>
        <w:jc w:val="center"/>
        <w:rPr>
          <w:rFonts w:ascii="宋体" w:hAnsi="宋体" w:hint="eastAsia"/>
          <w:b/>
          <w:sz w:val="32"/>
          <w:szCs w:val="32"/>
        </w:rPr>
      </w:pPr>
    </w:p>
    <w:p w14:paraId="10603CE8" w14:textId="77777777" w:rsidR="00C54F04" w:rsidRDefault="00000000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山西省地方标准</w:t>
      </w:r>
    </w:p>
    <w:p w14:paraId="570D506B" w14:textId="77777777" w:rsidR="00C54F04" w:rsidRDefault="00000000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《酥梨水肥一体化技术规程》</w:t>
      </w:r>
    </w:p>
    <w:p w14:paraId="34D3054B" w14:textId="77777777" w:rsidR="00C54F04" w:rsidRDefault="00000000">
      <w:pPr>
        <w:spacing w:line="520" w:lineRule="exact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14:paraId="1E7EE1B8" w14:textId="77777777" w:rsidR="00C54F04" w:rsidRDefault="00C54F04">
      <w:pPr>
        <w:spacing w:line="520" w:lineRule="exact"/>
        <w:jc w:val="center"/>
        <w:rPr>
          <w:rFonts w:ascii="宋体" w:hAnsi="宋体" w:hint="eastAsia"/>
          <w:b/>
          <w:sz w:val="30"/>
          <w:szCs w:val="30"/>
        </w:rPr>
      </w:pPr>
    </w:p>
    <w:p w14:paraId="04A610A9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14:paraId="71D9DB70" w14:textId="77777777" w:rsidR="00C54F04" w:rsidRDefault="00000000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14:paraId="4DC452CB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按照山西省市场监督管理局关于2022年度省级地方标准复审结论公告（山西省地方标准公告2022年第20号），《酥梨水肥一体化技术规程》DB14/T 925—2014被列入山西省地方标准修订计划，本标准由山西省农业标准化技术委员会（SXS/TC19）归口。</w:t>
      </w:r>
    </w:p>
    <w:p w14:paraId="7FA9205E" w14:textId="77777777" w:rsidR="00C54F04" w:rsidRDefault="00000000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14:paraId="164BA233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起草任务由</w:t>
      </w:r>
      <w:r>
        <w:rPr>
          <w:rFonts w:ascii="仿宋_GB2312" w:eastAsia="仿宋_GB2312" w:hAnsi="宋体" w:hint="eastAsia"/>
          <w:sz w:val="24"/>
        </w:rPr>
        <w:t>山西农业大学、山西益田农业科技有限公司承担</w:t>
      </w:r>
      <w:r>
        <w:rPr>
          <w:rFonts w:ascii="仿宋_GB2312" w:eastAsia="仿宋_GB2312" w:hAnsi="宋体"/>
          <w:sz w:val="24"/>
        </w:rPr>
        <w:t>。</w:t>
      </w:r>
    </w:p>
    <w:p w14:paraId="6E9A2F4E" w14:textId="77777777" w:rsidR="00C54F04" w:rsidRDefault="0000000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9"/>
        <w:gridCol w:w="1559"/>
        <w:gridCol w:w="1829"/>
        <w:gridCol w:w="1672"/>
        <w:gridCol w:w="1688"/>
      </w:tblGrid>
      <w:tr w:rsidR="00C54F04" w14:paraId="465E6385" w14:textId="77777777">
        <w:trPr>
          <w:trHeight w:val="600"/>
        </w:trPr>
        <w:tc>
          <w:tcPr>
            <w:tcW w:w="1002" w:type="pct"/>
            <w:gridSpan w:val="2"/>
          </w:tcPr>
          <w:p w14:paraId="2C15A6B1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姓名</w:t>
            </w:r>
          </w:p>
        </w:tc>
        <w:tc>
          <w:tcPr>
            <w:tcW w:w="923" w:type="pct"/>
          </w:tcPr>
          <w:p w14:paraId="55A8A8BE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性别</w:t>
            </w:r>
          </w:p>
        </w:tc>
        <w:tc>
          <w:tcPr>
            <w:tcW w:w="1083" w:type="pct"/>
          </w:tcPr>
          <w:p w14:paraId="425E7610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职务/职称</w:t>
            </w:r>
          </w:p>
        </w:tc>
        <w:tc>
          <w:tcPr>
            <w:tcW w:w="990" w:type="pct"/>
          </w:tcPr>
          <w:p w14:paraId="3CE41303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工作单位</w:t>
            </w:r>
          </w:p>
        </w:tc>
        <w:tc>
          <w:tcPr>
            <w:tcW w:w="1000" w:type="pct"/>
          </w:tcPr>
          <w:p w14:paraId="14BA33B5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任务分工</w:t>
            </w:r>
          </w:p>
        </w:tc>
      </w:tr>
      <w:tr w:rsidR="00C54F04" w14:paraId="370DDB29" w14:textId="77777777">
        <w:tc>
          <w:tcPr>
            <w:tcW w:w="997" w:type="pct"/>
          </w:tcPr>
          <w:p w14:paraId="2E1CCB12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闫敏</w:t>
            </w:r>
          </w:p>
        </w:tc>
        <w:tc>
          <w:tcPr>
            <w:tcW w:w="928" w:type="pct"/>
            <w:gridSpan w:val="2"/>
          </w:tcPr>
          <w:p w14:paraId="21A73EA4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083" w:type="pct"/>
          </w:tcPr>
          <w:p w14:paraId="281AEFE6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研究员</w:t>
            </w:r>
          </w:p>
        </w:tc>
        <w:tc>
          <w:tcPr>
            <w:tcW w:w="990" w:type="pct"/>
          </w:tcPr>
          <w:p w14:paraId="2C72079F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2D9B3A07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起草制定标准</w:t>
            </w:r>
          </w:p>
        </w:tc>
      </w:tr>
      <w:tr w:rsidR="00C54F04" w14:paraId="074D2D95" w14:textId="77777777">
        <w:tc>
          <w:tcPr>
            <w:tcW w:w="997" w:type="pct"/>
          </w:tcPr>
          <w:p w14:paraId="299D8BB6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朱晓萍</w:t>
            </w:r>
          </w:p>
        </w:tc>
        <w:tc>
          <w:tcPr>
            <w:tcW w:w="928" w:type="pct"/>
            <w:gridSpan w:val="2"/>
          </w:tcPr>
          <w:p w14:paraId="1C059A77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女</w:t>
            </w:r>
          </w:p>
        </w:tc>
        <w:tc>
          <w:tcPr>
            <w:tcW w:w="1083" w:type="pct"/>
          </w:tcPr>
          <w:p w14:paraId="1E037670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助理研究员</w:t>
            </w:r>
          </w:p>
        </w:tc>
        <w:tc>
          <w:tcPr>
            <w:tcW w:w="990" w:type="pct"/>
          </w:tcPr>
          <w:p w14:paraId="05E36ACD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0084F239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起草制定标准</w:t>
            </w:r>
          </w:p>
        </w:tc>
      </w:tr>
      <w:tr w:rsidR="00C54F04" w14:paraId="405A7B33" w14:textId="77777777">
        <w:tc>
          <w:tcPr>
            <w:tcW w:w="997" w:type="pct"/>
          </w:tcPr>
          <w:p w14:paraId="36DA5B70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李磊</w:t>
            </w:r>
          </w:p>
        </w:tc>
        <w:tc>
          <w:tcPr>
            <w:tcW w:w="928" w:type="pct"/>
            <w:gridSpan w:val="2"/>
          </w:tcPr>
          <w:p w14:paraId="71F2A067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083" w:type="pct"/>
          </w:tcPr>
          <w:p w14:paraId="0400874F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副院长/研究员</w:t>
            </w:r>
          </w:p>
        </w:tc>
        <w:tc>
          <w:tcPr>
            <w:tcW w:w="990" w:type="pct"/>
          </w:tcPr>
          <w:p w14:paraId="235386CA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5666C9D9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起草制定标准</w:t>
            </w:r>
          </w:p>
        </w:tc>
      </w:tr>
      <w:tr w:rsidR="00C54F04" w14:paraId="3575146A" w14:textId="77777777">
        <w:tc>
          <w:tcPr>
            <w:tcW w:w="997" w:type="pct"/>
          </w:tcPr>
          <w:p w14:paraId="6A35268C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proofErr w:type="gramStart"/>
            <w:r>
              <w:rPr>
                <w:rFonts w:ascii="仿宋" w:eastAsia="仿宋" w:hAnsi="仿宋" w:cs="Courier New" w:hint="eastAsia"/>
                <w:sz w:val="24"/>
              </w:rPr>
              <w:t>聂</w:t>
            </w:r>
            <w:proofErr w:type="gramEnd"/>
            <w:r>
              <w:rPr>
                <w:rFonts w:ascii="仿宋" w:eastAsia="仿宋" w:hAnsi="仿宋" w:cs="Courier New" w:hint="eastAsia"/>
                <w:sz w:val="24"/>
              </w:rPr>
              <w:t>督</w:t>
            </w:r>
          </w:p>
        </w:tc>
        <w:tc>
          <w:tcPr>
            <w:tcW w:w="928" w:type="pct"/>
            <w:gridSpan w:val="2"/>
          </w:tcPr>
          <w:p w14:paraId="1414AC98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083" w:type="pct"/>
          </w:tcPr>
          <w:p w14:paraId="782DEDA0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副研究员</w:t>
            </w:r>
          </w:p>
        </w:tc>
        <w:tc>
          <w:tcPr>
            <w:tcW w:w="990" w:type="pct"/>
          </w:tcPr>
          <w:p w14:paraId="15020BFD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0A929BF1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起草制定标准</w:t>
            </w:r>
          </w:p>
        </w:tc>
      </w:tr>
      <w:tr w:rsidR="00C54F04" w14:paraId="405B80FD" w14:textId="77777777">
        <w:tc>
          <w:tcPr>
            <w:tcW w:w="997" w:type="pct"/>
          </w:tcPr>
          <w:p w14:paraId="679CF242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孙捷</w:t>
            </w:r>
          </w:p>
        </w:tc>
        <w:tc>
          <w:tcPr>
            <w:tcW w:w="928" w:type="pct"/>
            <w:gridSpan w:val="2"/>
          </w:tcPr>
          <w:p w14:paraId="0B06C052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083" w:type="pct"/>
          </w:tcPr>
          <w:p w14:paraId="1D0CC44F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副研究员</w:t>
            </w:r>
          </w:p>
        </w:tc>
        <w:tc>
          <w:tcPr>
            <w:tcW w:w="990" w:type="pct"/>
          </w:tcPr>
          <w:p w14:paraId="0DD3DF39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14273CFD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起草制定标准</w:t>
            </w:r>
          </w:p>
        </w:tc>
      </w:tr>
      <w:tr w:rsidR="00C54F04" w14:paraId="51583391" w14:textId="77777777">
        <w:tc>
          <w:tcPr>
            <w:tcW w:w="997" w:type="pct"/>
          </w:tcPr>
          <w:p w14:paraId="117043E7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冯悦晨</w:t>
            </w:r>
          </w:p>
        </w:tc>
        <w:tc>
          <w:tcPr>
            <w:tcW w:w="928" w:type="pct"/>
            <w:gridSpan w:val="2"/>
          </w:tcPr>
          <w:p w14:paraId="1AE9AE2A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083" w:type="pct"/>
          </w:tcPr>
          <w:p w14:paraId="11CB5269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副研究员</w:t>
            </w:r>
          </w:p>
        </w:tc>
        <w:tc>
          <w:tcPr>
            <w:tcW w:w="990" w:type="pct"/>
          </w:tcPr>
          <w:p w14:paraId="40252EC2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6D7F8D2F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标准宣贯</w:t>
            </w:r>
          </w:p>
        </w:tc>
      </w:tr>
      <w:tr w:rsidR="00C54F04" w14:paraId="2ABB00BD" w14:textId="77777777">
        <w:tc>
          <w:tcPr>
            <w:tcW w:w="997" w:type="pct"/>
          </w:tcPr>
          <w:p w14:paraId="3FBF264E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张一弓</w:t>
            </w:r>
          </w:p>
        </w:tc>
        <w:tc>
          <w:tcPr>
            <w:tcW w:w="928" w:type="pct"/>
            <w:gridSpan w:val="2"/>
          </w:tcPr>
          <w:p w14:paraId="232D5601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男</w:t>
            </w:r>
          </w:p>
        </w:tc>
        <w:tc>
          <w:tcPr>
            <w:tcW w:w="1083" w:type="pct"/>
          </w:tcPr>
          <w:p w14:paraId="1D492BC6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副部长/研究员</w:t>
            </w:r>
          </w:p>
        </w:tc>
        <w:tc>
          <w:tcPr>
            <w:tcW w:w="990" w:type="pct"/>
          </w:tcPr>
          <w:p w14:paraId="1B210261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山西农业大学</w:t>
            </w:r>
          </w:p>
        </w:tc>
        <w:tc>
          <w:tcPr>
            <w:tcW w:w="1000" w:type="pct"/>
          </w:tcPr>
          <w:p w14:paraId="5C650699" w14:textId="77777777" w:rsidR="00C54F04" w:rsidRDefault="00000000">
            <w:pPr>
              <w:spacing w:line="400" w:lineRule="exact"/>
              <w:jc w:val="center"/>
              <w:rPr>
                <w:rFonts w:ascii="仿宋" w:eastAsia="仿宋" w:hAnsi="仿宋" w:cs="Courier New" w:hint="eastAsia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标准宣贯</w:t>
            </w:r>
          </w:p>
        </w:tc>
      </w:tr>
    </w:tbl>
    <w:p w14:paraId="63180E60" w14:textId="77777777" w:rsidR="00C54F04" w:rsidRDefault="00000000">
      <w:pPr>
        <w:spacing w:line="360" w:lineRule="auto"/>
        <w:ind w:firstLineChars="200" w:firstLine="480"/>
        <w:outlineLvl w:val="0"/>
        <w:rPr>
          <w:rFonts w:ascii="楷体" w:eastAsia="楷体" w:hAnsi="楷体" w:cs="Courier New" w:hint="eastAsia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14:paraId="2CEC702A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梨树的施肥与灌溉是梨树生产的关键技术。2009年，针对山西省</w:t>
      </w:r>
      <w:proofErr w:type="gramStart"/>
      <w:r>
        <w:rPr>
          <w:rFonts w:ascii="仿宋_GB2312" w:eastAsia="仿宋_GB2312" w:hAnsi="宋体" w:hint="eastAsia"/>
          <w:sz w:val="24"/>
        </w:rPr>
        <w:t>晋中市</w:t>
      </w:r>
      <w:proofErr w:type="gramEnd"/>
      <w:r>
        <w:rPr>
          <w:rFonts w:ascii="仿宋_GB2312" w:eastAsia="仿宋_GB2312" w:hAnsi="宋体" w:hint="eastAsia"/>
          <w:sz w:val="24"/>
        </w:rPr>
        <w:t>祁县109户酥梨种植农户进行了梨园养分管理和土壤养分现状的调查。结果显示：当地酥梨产量水平很低，平均亩产只有1500公斤。浇水施肥全部采用大水漫灌随水冲施的方法，96%的农户是在花后见果施肥。1）酥梨的需水量较大，祁县生育期内降雨300毫米左右，传统的灌溉量应为每亩200方左右。当地农户灌溉量每亩约为240～280方左右，灌溉次数3～4次的占到77%，全部采用</w:t>
      </w:r>
      <w:r>
        <w:rPr>
          <w:rFonts w:ascii="仿宋_GB2312" w:eastAsia="仿宋_GB2312" w:hAnsi="宋体" w:hint="eastAsia"/>
          <w:sz w:val="24"/>
        </w:rPr>
        <w:lastRenderedPageBreak/>
        <w:t>大水漫灌，灌溉时期主要分布在花前、坐果后、膨大期前期、膨大期中期，此后则</w:t>
      </w:r>
      <w:proofErr w:type="gramStart"/>
      <w:r>
        <w:rPr>
          <w:rFonts w:ascii="仿宋_GB2312" w:eastAsia="仿宋_GB2312" w:hAnsi="宋体" w:hint="eastAsia"/>
          <w:sz w:val="24"/>
        </w:rPr>
        <w:t>视当年</w:t>
      </w:r>
      <w:proofErr w:type="gramEnd"/>
      <w:r>
        <w:rPr>
          <w:rFonts w:ascii="仿宋_GB2312" w:eastAsia="仿宋_GB2312" w:hAnsi="宋体" w:hint="eastAsia"/>
          <w:sz w:val="24"/>
        </w:rPr>
        <w:t>的降雨情况而定。2）农户平均纯</w:t>
      </w:r>
      <w:proofErr w:type="gramStart"/>
      <w:r>
        <w:rPr>
          <w:rFonts w:ascii="仿宋_GB2312" w:eastAsia="仿宋_GB2312" w:hAnsi="宋体" w:hint="eastAsia"/>
          <w:sz w:val="24"/>
        </w:rPr>
        <w:t>氮投入</w:t>
      </w:r>
      <w:proofErr w:type="gramEnd"/>
      <w:r>
        <w:rPr>
          <w:rFonts w:ascii="仿宋_GB2312" w:eastAsia="仿宋_GB2312" w:hAnsi="宋体" w:hint="eastAsia"/>
          <w:sz w:val="24"/>
        </w:rPr>
        <w:t>量为每亩35公斤，</w:t>
      </w:r>
      <w:proofErr w:type="gramStart"/>
      <w:r>
        <w:rPr>
          <w:rFonts w:ascii="仿宋_GB2312" w:eastAsia="仿宋_GB2312" w:hAnsi="宋体" w:hint="eastAsia"/>
          <w:sz w:val="24"/>
        </w:rPr>
        <w:t>纯磷投入</w:t>
      </w:r>
      <w:proofErr w:type="gramEnd"/>
      <w:r>
        <w:rPr>
          <w:rFonts w:ascii="仿宋_GB2312" w:eastAsia="仿宋_GB2312" w:hAnsi="宋体" w:hint="eastAsia"/>
          <w:sz w:val="24"/>
        </w:rPr>
        <w:t>量为每亩8公斤，</w:t>
      </w:r>
      <w:proofErr w:type="gramStart"/>
      <w:r>
        <w:rPr>
          <w:rFonts w:ascii="仿宋_GB2312" w:eastAsia="仿宋_GB2312" w:hAnsi="宋体" w:hint="eastAsia"/>
          <w:sz w:val="24"/>
        </w:rPr>
        <w:t>纯钾投入</w:t>
      </w:r>
      <w:proofErr w:type="gramEnd"/>
      <w:r>
        <w:rPr>
          <w:rFonts w:ascii="仿宋_GB2312" w:eastAsia="仿宋_GB2312" w:hAnsi="宋体" w:hint="eastAsia"/>
          <w:sz w:val="24"/>
        </w:rPr>
        <w:t>量为每亩11公斤，且各户之间养分投入差距巨大。测算平均肥料利用率为氮21%，磷为42%，钾为69%。60%的农户在梨树坐果后施肥，果实膨大期的</w:t>
      </w:r>
      <w:proofErr w:type="gramStart"/>
      <w:r>
        <w:rPr>
          <w:rFonts w:ascii="仿宋_GB2312" w:eastAsia="仿宋_GB2312" w:hAnsi="宋体" w:hint="eastAsia"/>
          <w:sz w:val="24"/>
        </w:rPr>
        <w:t>施肥户</w:t>
      </w:r>
      <w:proofErr w:type="gramEnd"/>
      <w:r>
        <w:rPr>
          <w:rFonts w:ascii="仿宋_GB2312" w:eastAsia="仿宋_GB2312" w:hAnsi="宋体" w:hint="eastAsia"/>
          <w:sz w:val="24"/>
        </w:rPr>
        <w:t>达74%，</w:t>
      </w:r>
      <w:proofErr w:type="gramStart"/>
      <w:r>
        <w:rPr>
          <w:rFonts w:ascii="仿宋_GB2312" w:eastAsia="仿宋_GB2312" w:hAnsi="宋体" w:hint="eastAsia"/>
          <w:sz w:val="24"/>
        </w:rPr>
        <w:t>而秋施基肥</w:t>
      </w:r>
      <w:proofErr w:type="gramEnd"/>
      <w:r>
        <w:rPr>
          <w:rFonts w:ascii="仿宋_GB2312" w:eastAsia="仿宋_GB2312" w:hAnsi="宋体" w:hint="eastAsia"/>
          <w:sz w:val="24"/>
        </w:rPr>
        <w:t>的农户很少。</w:t>
      </w:r>
    </w:p>
    <w:p w14:paraId="0597B555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目前，我省酥梨生产中施肥和灌溉仍然存在问题：1）灌水全部是大水漫灌，灌溉量超过20-40%；2）磷钾肥的利用率较高，氮肥的利用率较低；氮 、磷的投入量过高，且极度不平衡；施肥时期与梨树需肥时期不符。这是由于大多数农户对磷钾肥的投入不多，单施氮肥的农户比例极高，且全部采用大水漫灌的追肥方式，使氮肥利用率较低。同时，有机肥和化肥施用搭配不合理、施肥灌溉方式不科学导致土壤中的氮、磷含量很低。这些问题主要是由于梨树施肥、灌溉工作量大，劳动力缺乏，施肥技术落后，管理粗放而无规范引起的，并且严重制约了祁县酥梨的发展。</w:t>
      </w:r>
    </w:p>
    <w:p w14:paraId="28142897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酥梨水肥一体化技术，就是少量多次，施肥与灌溉一起操作，使肥料能够随水进入梨树根系的密集区，减少流失，极大的提高肥料的利用率，减少肥料和劳动强度。当前我省生产中的水肥一体化主要应用于设施栽培和葡萄、苹果等果树上，在酥梨生产上还没有一个技术规程，没有一个统一的实施标准和规范，为此我们编写了酥梨水肥一体化技术规程。以本标准为核心技术支撑之一，团队于2021年与山西万亩丰肥业有限公司签订“果树水肥一体化关键技术示范推广项目”合作协议。项目实施的主要内容为在祁县闫漫村酥梨基地，建立水肥一体化设施梨园200亩。对示范基地进行统一的水肥管理，并定期检查监督，跟踪调查果树的树体生长动态和土壤水分、养分变化情况，并收获对比产量、品质，分析其节水节肥等成本，综合评价水肥一体化技术实施效果。与当地农业相关部门举办各种方式的培训班，培养当地种植能手和技术骨干形成技术宣传网络，辐射整个酥梨基地，面积5000亩。由于近年酥梨水肥一体化技术升级，需修订《酥梨水肥一体化技术规程》，以期为提升我省酥梨生产效率提供技术支撑。本标准所引用的文件并未发生修订，所提出的规范性原则和要求在应用中意义重大，因此按照标准新的要求进行了修订。</w:t>
      </w:r>
    </w:p>
    <w:p w14:paraId="2865F0DD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针对酥梨</w:t>
      </w:r>
      <w:r>
        <w:rPr>
          <w:rFonts w:ascii="仿宋_GB2312" w:eastAsia="仿宋_GB2312" w:hAnsi="宋体"/>
          <w:sz w:val="24"/>
        </w:rPr>
        <w:t>水肥一体化生产中</w:t>
      </w:r>
      <w:r>
        <w:rPr>
          <w:rFonts w:ascii="仿宋_GB2312" w:eastAsia="仿宋_GB2312" w:hAnsi="宋体" w:hint="eastAsia"/>
          <w:sz w:val="24"/>
        </w:rPr>
        <w:t>氮肥利用率仍然较低的问题，标准修订组于</w:t>
      </w:r>
      <w:r>
        <w:rPr>
          <w:rFonts w:ascii="仿宋_GB2312" w:eastAsia="仿宋_GB2312" w:hAnsi="宋体" w:hint="eastAsia"/>
          <w:sz w:val="24"/>
        </w:rPr>
        <w:lastRenderedPageBreak/>
        <w:t>2019年在隰县进行了</w:t>
      </w:r>
      <w:r>
        <w:rPr>
          <w:rFonts w:ascii="仿宋_GB2312" w:eastAsia="仿宋_GB2312" w:hAnsi="宋体"/>
          <w:sz w:val="24"/>
        </w:rPr>
        <w:t>酥梨水肥一体化</w:t>
      </w:r>
      <w:r>
        <w:rPr>
          <w:rFonts w:ascii="仿宋_GB2312" w:eastAsia="仿宋_GB2312" w:hAnsi="宋体" w:hint="eastAsia"/>
          <w:sz w:val="24"/>
        </w:rPr>
        <w:t>氮肥定量实验，设置如下5个处理：T1：常规施肥（农民习惯）；T2:优化施肥（OPT N）；T3：无氮施肥（OPT N0）；T4：</w:t>
      </w:r>
      <w:proofErr w:type="gramStart"/>
      <w:r>
        <w:rPr>
          <w:rFonts w:ascii="仿宋_GB2312" w:eastAsia="仿宋_GB2312" w:hAnsi="宋体" w:hint="eastAsia"/>
          <w:sz w:val="24"/>
        </w:rPr>
        <w:t>减氮施肥</w:t>
      </w:r>
      <w:proofErr w:type="gramEnd"/>
      <w:r>
        <w:rPr>
          <w:rFonts w:ascii="仿宋_GB2312" w:eastAsia="仿宋_GB2312" w:hAnsi="宋体" w:hint="eastAsia"/>
          <w:sz w:val="24"/>
        </w:rPr>
        <w:t>（OPT N*70%）；T5：</w:t>
      </w:r>
      <w:proofErr w:type="gramStart"/>
      <w:r>
        <w:rPr>
          <w:rFonts w:ascii="仿宋_GB2312" w:eastAsia="仿宋_GB2312" w:hAnsi="宋体" w:hint="eastAsia"/>
          <w:sz w:val="24"/>
        </w:rPr>
        <w:t>增氮施肥</w:t>
      </w:r>
      <w:proofErr w:type="gramEnd"/>
      <w:r>
        <w:rPr>
          <w:rFonts w:ascii="仿宋_GB2312" w:eastAsia="仿宋_GB2312" w:hAnsi="宋体" w:hint="eastAsia"/>
          <w:sz w:val="24"/>
        </w:rPr>
        <w:t>（OPT N*130%）。</w:t>
      </w:r>
    </w:p>
    <w:p w14:paraId="69D6171D" w14:textId="3740977E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各处理施肥总量依照</w:t>
      </w:r>
      <w:r w:rsidR="002408DE">
        <w:rPr>
          <w:rFonts w:ascii="仿宋_GB2312" w:eastAsia="仿宋_GB2312" w:hAnsi="宋体" w:hint="eastAsia"/>
          <w:sz w:val="24"/>
        </w:rPr>
        <w:t>表2</w:t>
      </w:r>
      <w:r>
        <w:rPr>
          <w:rFonts w:ascii="仿宋_GB2312" w:eastAsia="仿宋_GB2312" w:hAnsi="宋体" w:hint="eastAsia"/>
          <w:sz w:val="24"/>
        </w:rPr>
        <w:t>安排，优化处理基、追肥分配比例依照</w:t>
      </w:r>
      <w:r w:rsidR="002408DE">
        <w:rPr>
          <w:rFonts w:ascii="仿宋_GB2312" w:eastAsia="仿宋_GB2312" w:hAnsi="宋体" w:hint="eastAsia"/>
          <w:sz w:val="24"/>
        </w:rPr>
        <w:t>表3</w:t>
      </w:r>
      <w:r>
        <w:rPr>
          <w:rFonts w:ascii="仿宋_GB2312" w:eastAsia="仿宋_GB2312" w:hAnsi="宋体" w:hint="eastAsia"/>
          <w:sz w:val="24"/>
        </w:rPr>
        <w:t>安排。农民习惯处理采用有机肥的氮含量和</w:t>
      </w:r>
      <w:proofErr w:type="gramStart"/>
      <w:r>
        <w:rPr>
          <w:rFonts w:ascii="仿宋_GB2312" w:eastAsia="仿宋_GB2312" w:hAnsi="宋体" w:hint="eastAsia"/>
          <w:sz w:val="24"/>
        </w:rPr>
        <w:t>有机肥供氮量</w:t>
      </w:r>
      <w:proofErr w:type="gramEnd"/>
      <w:r>
        <w:rPr>
          <w:rFonts w:ascii="仿宋_GB2312" w:eastAsia="仿宋_GB2312" w:hAnsi="宋体" w:hint="eastAsia"/>
          <w:sz w:val="24"/>
        </w:rPr>
        <w:t>定量。</w:t>
      </w:r>
    </w:p>
    <w:p w14:paraId="5541A2A7" w14:textId="77777777" w:rsidR="00C54F04" w:rsidRDefault="0000000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表</w:t>
      </w:r>
      <w:r>
        <w:rPr>
          <w:rFonts w:ascii="仿宋_GB2312" w:eastAsia="仿宋_GB2312" w:hAnsi="宋体" w:hint="eastAsia"/>
          <w:sz w:val="24"/>
        </w:rPr>
        <w:t xml:space="preserve">2. </w:t>
      </w:r>
      <w:r>
        <w:rPr>
          <w:rFonts w:ascii="仿宋_GB2312" w:eastAsia="仿宋_GB2312" w:hAnsi="宋体"/>
          <w:sz w:val="24"/>
        </w:rPr>
        <w:t>各处理果园养分投入总量计算依据</w:t>
      </w:r>
    </w:p>
    <w:tbl>
      <w:tblPr>
        <w:tblW w:w="8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2640"/>
        <w:gridCol w:w="971"/>
        <w:gridCol w:w="971"/>
        <w:gridCol w:w="974"/>
        <w:gridCol w:w="1598"/>
      </w:tblGrid>
      <w:tr w:rsidR="00C54F04" w14:paraId="3FFD027D" w14:textId="77777777">
        <w:trPr>
          <w:trHeight w:val="268"/>
        </w:trPr>
        <w:tc>
          <w:tcPr>
            <w:tcW w:w="1216" w:type="dxa"/>
            <w:vMerge w:val="restart"/>
            <w:vAlign w:val="center"/>
          </w:tcPr>
          <w:p w14:paraId="5209C8D1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处理号</w:t>
            </w:r>
          </w:p>
        </w:tc>
        <w:tc>
          <w:tcPr>
            <w:tcW w:w="2640" w:type="dxa"/>
            <w:vMerge w:val="restart"/>
            <w:vAlign w:val="center"/>
          </w:tcPr>
          <w:p w14:paraId="5C69E632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目标产量</w:t>
            </w:r>
          </w:p>
          <w:p w14:paraId="65B0F80F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(4000kg/667m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2916" w:type="dxa"/>
            <w:gridSpan w:val="3"/>
            <w:vAlign w:val="center"/>
          </w:tcPr>
          <w:p w14:paraId="512946DE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化肥（kg/667m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98" w:type="dxa"/>
            <w:vMerge w:val="restart"/>
            <w:vAlign w:val="center"/>
          </w:tcPr>
          <w:p w14:paraId="3790904F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有机肥（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kg/667m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vertAlign w:val="superscript"/>
              </w:rPr>
              <w:t>2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）</w:t>
            </w:r>
          </w:p>
        </w:tc>
      </w:tr>
      <w:tr w:rsidR="00C54F04" w14:paraId="19B9C89F" w14:textId="77777777">
        <w:trPr>
          <w:trHeight w:val="255"/>
        </w:trPr>
        <w:tc>
          <w:tcPr>
            <w:tcW w:w="1216" w:type="dxa"/>
            <w:vMerge/>
          </w:tcPr>
          <w:p w14:paraId="68553C71" w14:textId="77777777" w:rsidR="00C54F04" w:rsidRDefault="00C54F04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</w:p>
        </w:tc>
        <w:tc>
          <w:tcPr>
            <w:tcW w:w="2640" w:type="dxa"/>
            <w:vMerge/>
            <w:vAlign w:val="center"/>
          </w:tcPr>
          <w:p w14:paraId="28FC9C62" w14:textId="77777777" w:rsidR="00C54F04" w:rsidRDefault="00C54F04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7E083390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N</w:t>
            </w:r>
          </w:p>
        </w:tc>
        <w:tc>
          <w:tcPr>
            <w:tcW w:w="971" w:type="dxa"/>
            <w:vAlign w:val="center"/>
          </w:tcPr>
          <w:p w14:paraId="1BAF24F5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P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vertAlign w:val="subscript"/>
              </w:rPr>
              <w:t>2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O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vertAlign w:val="subscript"/>
              </w:rPr>
              <w:t>5</w:t>
            </w:r>
          </w:p>
        </w:tc>
        <w:tc>
          <w:tcPr>
            <w:tcW w:w="972" w:type="dxa"/>
            <w:vAlign w:val="center"/>
          </w:tcPr>
          <w:p w14:paraId="29299868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K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vertAlign w:val="subscript"/>
              </w:rPr>
              <w:t>2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</w:rPr>
              <w:t>O</w:t>
            </w:r>
          </w:p>
        </w:tc>
        <w:tc>
          <w:tcPr>
            <w:tcW w:w="1598" w:type="dxa"/>
            <w:vMerge/>
            <w:vAlign w:val="center"/>
          </w:tcPr>
          <w:p w14:paraId="3BC8999C" w14:textId="77777777" w:rsidR="00C54F04" w:rsidRDefault="00C54F04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bCs/>
                <w:kern w:val="0"/>
                <w:sz w:val="24"/>
              </w:rPr>
            </w:pPr>
          </w:p>
        </w:tc>
      </w:tr>
      <w:tr w:rsidR="00C54F04" w14:paraId="7E5EC50F" w14:textId="77777777">
        <w:trPr>
          <w:trHeight w:val="255"/>
        </w:trPr>
        <w:tc>
          <w:tcPr>
            <w:tcW w:w="1216" w:type="dxa"/>
          </w:tcPr>
          <w:p w14:paraId="0752322A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640" w:type="dxa"/>
            <w:vAlign w:val="center"/>
          </w:tcPr>
          <w:p w14:paraId="775B23C9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农民习惯（CK）</w:t>
            </w:r>
          </w:p>
        </w:tc>
        <w:tc>
          <w:tcPr>
            <w:tcW w:w="971" w:type="dxa"/>
            <w:vAlign w:val="bottom"/>
          </w:tcPr>
          <w:p w14:paraId="7E78CE80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35</w:t>
            </w:r>
          </w:p>
        </w:tc>
        <w:tc>
          <w:tcPr>
            <w:tcW w:w="971" w:type="dxa"/>
            <w:vAlign w:val="bottom"/>
          </w:tcPr>
          <w:p w14:paraId="7B9707B2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8</w:t>
            </w:r>
          </w:p>
        </w:tc>
        <w:tc>
          <w:tcPr>
            <w:tcW w:w="972" w:type="dxa"/>
            <w:vAlign w:val="bottom"/>
          </w:tcPr>
          <w:p w14:paraId="6C0F39F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</w:t>
            </w:r>
          </w:p>
        </w:tc>
        <w:tc>
          <w:tcPr>
            <w:tcW w:w="1598" w:type="dxa"/>
          </w:tcPr>
          <w:p w14:paraId="1F2F8DC7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</w:tr>
      <w:tr w:rsidR="00C54F04" w14:paraId="1605E1EC" w14:textId="77777777">
        <w:trPr>
          <w:trHeight w:val="268"/>
        </w:trPr>
        <w:tc>
          <w:tcPr>
            <w:tcW w:w="1216" w:type="dxa"/>
          </w:tcPr>
          <w:p w14:paraId="14BAD261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640" w:type="dxa"/>
            <w:vAlign w:val="center"/>
          </w:tcPr>
          <w:p w14:paraId="5E258583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优化（OPT）</w:t>
            </w:r>
          </w:p>
        </w:tc>
        <w:tc>
          <w:tcPr>
            <w:tcW w:w="971" w:type="dxa"/>
            <w:vAlign w:val="center"/>
          </w:tcPr>
          <w:p w14:paraId="607FEE38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971" w:type="dxa"/>
            <w:vAlign w:val="center"/>
          </w:tcPr>
          <w:p w14:paraId="26E2CF4F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6637D1EE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</w:t>
            </w:r>
          </w:p>
        </w:tc>
        <w:tc>
          <w:tcPr>
            <w:tcW w:w="1598" w:type="dxa"/>
          </w:tcPr>
          <w:p w14:paraId="067D7533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500</w:t>
            </w:r>
          </w:p>
        </w:tc>
      </w:tr>
      <w:tr w:rsidR="00C54F04" w14:paraId="042BAB57" w14:textId="77777777">
        <w:trPr>
          <w:trHeight w:val="268"/>
        </w:trPr>
        <w:tc>
          <w:tcPr>
            <w:tcW w:w="1216" w:type="dxa"/>
          </w:tcPr>
          <w:p w14:paraId="7AB8DDA4" w14:textId="77777777" w:rsidR="00C54F04" w:rsidRDefault="00000000">
            <w:pPr>
              <w:widowControl/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40" w:type="dxa"/>
            <w:vAlign w:val="center"/>
          </w:tcPr>
          <w:p w14:paraId="211BE4A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无氮施肥（OPT N0）</w:t>
            </w:r>
          </w:p>
        </w:tc>
        <w:tc>
          <w:tcPr>
            <w:tcW w:w="971" w:type="dxa"/>
            <w:vAlign w:val="center"/>
          </w:tcPr>
          <w:p w14:paraId="461F88C0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0</w:t>
            </w:r>
          </w:p>
        </w:tc>
        <w:tc>
          <w:tcPr>
            <w:tcW w:w="971" w:type="dxa"/>
            <w:vAlign w:val="center"/>
          </w:tcPr>
          <w:p w14:paraId="42CDFC6D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7359B0CB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</w:t>
            </w:r>
          </w:p>
        </w:tc>
        <w:tc>
          <w:tcPr>
            <w:tcW w:w="1598" w:type="dxa"/>
          </w:tcPr>
          <w:p w14:paraId="52E05BB9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500</w:t>
            </w:r>
          </w:p>
        </w:tc>
      </w:tr>
      <w:tr w:rsidR="00C54F04" w14:paraId="761DEEDA" w14:textId="77777777">
        <w:trPr>
          <w:trHeight w:val="268"/>
        </w:trPr>
        <w:tc>
          <w:tcPr>
            <w:tcW w:w="1216" w:type="dxa"/>
          </w:tcPr>
          <w:p w14:paraId="1A58E7FF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640" w:type="dxa"/>
            <w:vAlign w:val="center"/>
          </w:tcPr>
          <w:p w14:paraId="5FC8EEBC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</w:rPr>
              <w:t>减氮施肥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</w:rPr>
              <w:t>（OPT N*70%）</w:t>
            </w:r>
          </w:p>
        </w:tc>
        <w:tc>
          <w:tcPr>
            <w:tcW w:w="971" w:type="dxa"/>
            <w:vAlign w:val="center"/>
          </w:tcPr>
          <w:p w14:paraId="3A7B9EFA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971" w:type="dxa"/>
            <w:vAlign w:val="center"/>
          </w:tcPr>
          <w:p w14:paraId="338EC040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06723284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</w:t>
            </w:r>
          </w:p>
        </w:tc>
        <w:tc>
          <w:tcPr>
            <w:tcW w:w="1598" w:type="dxa"/>
          </w:tcPr>
          <w:p w14:paraId="6608AE91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500</w:t>
            </w:r>
          </w:p>
        </w:tc>
      </w:tr>
      <w:tr w:rsidR="00C54F04" w14:paraId="259D1C16" w14:textId="77777777">
        <w:trPr>
          <w:trHeight w:val="438"/>
        </w:trPr>
        <w:tc>
          <w:tcPr>
            <w:tcW w:w="1216" w:type="dxa"/>
            <w:vAlign w:val="center"/>
          </w:tcPr>
          <w:p w14:paraId="75611CE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640" w:type="dxa"/>
            <w:vAlign w:val="center"/>
          </w:tcPr>
          <w:p w14:paraId="299E9F90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</w:rPr>
              <w:t>增氮施肥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</w:rPr>
              <w:t>（OPT N*130%）</w:t>
            </w:r>
          </w:p>
        </w:tc>
        <w:tc>
          <w:tcPr>
            <w:tcW w:w="971" w:type="dxa"/>
            <w:vAlign w:val="center"/>
          </w:tcPr>
          <w:p w14:paraId="455C2277" w14:textId="77777777" w:rsidR="00C54F04" w:rsidRDefault="00000000">
            <w:pPr>
              <w:tabs>
                <w:tab w:val="center" w:pos="405"/>
                <w:tab w:val="left" w:pos="565"/>
              </w:tabs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15</w:t>
            </w:r>
          </w:p>
        </w:tc>
        <w:tc>
          <w:tcPr>
            <w:tcW w:w="971" w:type="dxa"/>
            <w:vAlign w:val="center"/>
          </w:tcPr>
          <w:p w14:paraId="7AA3102F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5CB0DCEC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11</w:t>
            </w:r>
          </w:p>
        </w:tc>
        <w:tc>
          <w:tcPr>
            <w:tcW w:w="1598" w:type="dxa"/>
            <w:vAlign w:val="center"/>
          </w:tcPr>
          <w:p w14:paraId="081841B3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500</w:t>
            </w:r>
          </w:p>
        </w:tc>
      </w:tr>
    </w:tbl>
    <w:p w14:paraId="174B4A57" w14:textId="77777777" w:rsidR="00C54F04" w:rsidRDefault="0000000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</w:rPr>
        <w:t>表</w:t>
      </w:r>
      <w:r>
        <w:rPr>
          <w:rFonts w:ascii="仿宋_GB2312" w:eastAsia="仿宋_GB2312" w:hAnsi="宋体" w:hint="eastAsia"/>
          <w:sz w:val="24"/>
        </w:rPr>
        <w:t xml:space="preserve">3. </w:t>
      </w:r>
      <w:r>
        <w:rPr>
          <w:rFonts w:ascii="仿宋_GB2312" w:eastAsia="仿宋_GB2312" w:hAnsi="宋体"/>
          <w:sz w:val="24"/>
        </w:rPr>
        <w:t>肥料分期分配比例表</w:t>
      </w:r>
    </w:p>
    <w:tbl>
      <w:tblPr>
        <w:tblW w:w="8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1"/>
      </w:tblGrid>
      <w:tr w:rsidR="00C54F04" w14:paraId="36C4D24F" w14:textId="77777777">
        <w:trPr>
          <w:trHeight w:val="448"/>
          <w:jc w:val="center"/>
        </w:trPr>
        <w:tc>
          <w:tcPr>
            <w:tcW w:w="2080" w:type="dxa"/>
            <w:vAlign w:val="center"/>
          </w:tcPr>
          <w:p w14:paraId="3E6FB6FC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化学肥料</w:t>
            </w:r>
          </w:p>
        </w:tc>
        <w:tc>
          <w:tcPr>
            <w:tcW w:w="2080" w:type="dxa"/>
            <w:vAlign w:val="center"/>
          </w:tcPr>
          <w:p w14:paraId="5ECBB10B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9～10月</w:t>
            </w:r>
          </w:p>
          <w:p w14:paraId="4753E87C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（基肥）</w:t>
            </w:r>
          </w:p>
        </w:tc>
        <w:tc>
          <w:tcPr>
            <w:tcW w:w="2080" w:type="dxa"/>
            <w:vAlign w:val="center"/>
          </w:tcPr>
          <w:p w14:paraId="790AAFB1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3月初</w:t>
            </w:r>
          </w:p>
          <w:p w14:paraId="2A03008E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（萌芽期）</w:t>
            </w:r>
          </w:p>
        </w:tc>
        <w:tc>
          <w:tcPr>
            <w:tcW w:w="2081" w:type="dxa"/>
            <w:vAlign w:val="center"/>
          </w:tcPr>
          <w:p w14:paraId="503906C0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6～7月（膨果期）</w:t>
            </w:r>
          </w:p>
        </w:tc>
      </w:tr>
      <w:tr w:rsidR="00C54F04" w14:paraId="7D55A50D" w14:textId="77777777">
        <w:trPr>
          <w:trHeight w:val="448"/>
          <w:jc w:val="center"/>
        </w:trPr>
        <w:tc>
          <w:tcPr>
            <w:tcW w:w="2080" w:type="dxa"/>
            <w:vAlign w:val="center"/>
          </w:tcPr>
          <w:p w14:paraId="37C50361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N</w:t>
            </w:r>
          </w:p>
        </w:tc>
        <w:tc>
          <w:tcPr>
            <w:tcW w:w="2080" w:type="dxa"/>
            <w:vAlign w:val="center"/>
          </w:tcPr>
          <w:p w14:paraId="1C1F828C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50%</w:t>
            </w:r>
          </w:p>
        </w:tc>
        <w:tc>
          <w:tcPr>
            <w:tcW w:w="2080" w:type="dxa"/>
            <w:vAlign w:val="center"/>
          </w:tcPr>
          <w:p w14:paraId="7FDFF452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30%</w:t>
            </w:r>
          </w:p>
        </w:tc>
        <w:tc>
          <w:tcPr>
            <w:tcW w:w="2081" w:type="dxa"/>
            <w:vAlign w:val="center"/>
          </w:tcPr>
          <w:p w14:paraId="4DACE839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20%</w:t>
            </w:r>
          </w:p>
        </w:tc>
      </w:tr>
      <w:tr w:rsidR="00C54F04" w14:paraId="62320060" w14:textId="77777777">
        <w:trPr>
          <w:trHeight w:val="448"/>
          <w:jc w:val="center"/>
        </w:trPr>
        <w:tc>
          <w:tcPr>
            <w:tcW w:w="2080" w:type="dxa"/>
            <w:vAlign w:val="center"/>
          </w:tcPr>
          <w:p w14:paraId="59A9D57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P</w:t>
            </w:r>
          </w:p>
        </w:tc>
        <w:tc>
          <w:tcPr>
            <w:tcW w:w="2080" w:type="dxa"/>
            <w:vAlign w:val="center"/>
          </w:tcPr>
          <w:p w14:paraId="636F05E1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50%</w:t>
            </w:r>
          </w:p>
        </w:tc>
        <w:tc>
          <w:tcPr>
            <w:tcW w:w="2080" w:type="dxa"/>
            <w:vAlign w:val="center"/>
          </w:tcPr>
          <w:p w14:paraId="354165CD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30%</w:t>
            </w:r>
          </w:p>
        </w:tc>
        <w:tc>
          <w:tcPr>
            <w:tcW w:w="2081" w:type="dxa"/>
            <w:vAlign w:val="center"/>
          </w:tcPr>
          <w:p w14:paraId="28EB33E1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20%</w:t>
            </w:r>
          </w:p>
        </w:tc>
      </w:tr>
      <w:tr w:rsidR="00C54F04" w14:paraId="7F5B1250" w14:textId="77777777">
        <w:trPr>
          <w:trHeight w:val="586"/>
          <w:jc w:val="center"/>
        </w:trPr>
        <w:tc>
          <w:tcPr>
            <w:tcW w:w="2080" w:type="dxa"/>
            <w:vAlign w:val="center"/>
          </w:tcPr>
          <w:p w14:paraId="3345413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K</w:t>
            </w:r>
          </w:p>
        </w:tc>
        <w:tc>
          <w:tcPr>
            <w:tcW w:w="2080" w:type="dxa"/>
            <w:vAlign w:val="center"/>
          </w:tcPr>
          <w:p w14:paraId="02E38266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30%</w:t>
            </w:r>
          </w:p>
        </w:tc>
        <w:tc>
          <w:tcPr>
            <w:tcW w:w="2080" w:type="dxa"/>
            <w:vAlign w:val="center"/>
          </w:tcPr>
          <w:p w14:paraId="6D0E24FF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30%</w:t>
            </w:r>
          </w:p>
        </w:tc>
        <w:tc>
          <w:tcPr>
            <w:tcW w:w="2081" w:type="dxa"/>
            <w:vAlign w:val="center"/>
          </w:tcPr>
          <w:p w14:paraId="52AE2F58" w14:textId="77777777" w:rsidR="00C54F04" w:rsidRDefault="00000000">
            <w:pPr>
              <w:spacing w:beforeLines="50" w:before="159" w:afterLines="50" w:after="159"/>
              <w:ind w:leftChars="50" w:left="105" w:rightChars="50" w:right="105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40%</w:t>
            </w:r>
          </w:p>
        </w:tc>
      </w:tr>
    </w:tbl>
    <w:p w14:paraId="63DA94FA" w14:textId="77777777" w:rsidR="00C54F04" w:rsidRDefault="00000000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结果表明：</w:t>
      </w:r>
      <w:r>
        <w:rPr>
          <w:rFonts w:ascii="仿宋_GB2312" w:eastAsia="仿宋_GB2312" w:hAnsi="宋体"/>
          <w:sz w:val="24"/>
        </w:rPr>
        <w:t>由图1可知，T1处理果实个数最低（159个/株），与T1相比，T2、T3、T4和T5 果实个数显著高于T1 52%，45%，50%和51%，单果重由高到</w:t>
      </w:r>
      <w:proofErr w:type="gramStart"/>
      <w:r>
        <w:rPr>
          <w:rFonts w:ascii="仿宋_GB2312" w:eastAsia="仿宋_GB2312" w:hAnsi="宋体"/>
          <w:sz w:val="24"/>
        </w:rPr>
        <w:t>到</w:t>
      </w:r>
      <w:proofErr w:type="gramEnd"/>
      <w:r>
        <w:rPr>
          <w:rFonts w:ascii="仿宋_GB2312" w:eastAsia="仿宋_GB2312" w:hAnsi="宋体"/>
          <w:sz w:val="24"/>
        </w:rPr>
        <w:t>低依次为：T2&gt;T4&gt;T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/>
          <w:sz w:val="24"/>
        </w:rPr>
        <w:t>&gt;T5&gt;T1, 各处理无显著差异。不同处理对酥梨产量影响由高到低依次为T2&gt;T5&gt;T4&gt;T3&gt;T1，与CK相比，各处理产量显著高于T1（T3 除外）。由此可知，与农民习惯相比，优化施肥显著提高植株的果实数量</w:t>
      </w:r>
      <w:r>
        <w:rPr>
          <w:rFonts w:ascii="仿宋_GB2312" w:eastAsia="仿宋_GB2312" w:hAnsi="宋体"/>
          <w:sz w:val="24"/>
        </w:rPr>
        <w:lastRenderedPageBreak/>
        <w:t>与产量，与优化施肥相比，不施氮肥降低了酥梨的单果重与产量，而且增加氮肥施用量不会造成产量的提升。</w:t>
      </w:r>
    </w:p>
    <w:p w14:paraId="539215DB" w14:textId="77777777" w:rsidR="00C54F04" w:rsidRDefault="00C54F04">
      <w:pPr>
        <w:spacing w:line="360" w:lineRule="auto"/>
        <w:ind w:firstLineChars="200" w:firstLine="480"/>
        <w:jc w:val="left"/>
        <w:rPr>
          <w:color w:val="000000"/>
          <w:sz w:val="24"/>
        </w:rPr>
      </w:pPr>
    </w:p>
    <w:p w14:paraId="265D6700" w14:textId="77777777" w:rsidR="00C54F04" w:rsidRDefault="00C54F04">
      <w:pPr>
        <w:spacing w:line="360" w:lineRule="auto"/>
        <w:ind w:firstLineChars="200" w:firstLine="480"/>
        <w:jc w:val="left"/>
        <w:rPr>
          <w:color w:val="000000"/>
          <w:sz w:val="24"/>
        </w:rPr>
      </w:pPr>
    </w:p>
    <w:p w14:paraId="684528D0" w14:textId="77777777" w:rsidR="00C54F04" w:rsidRDefault="00000000">
      <w:pPr>
        <w:spacing w:line="360" w:lineRule="auto"/>
        <w:ind w:firstLineChars="200" w:firstLine="420"/>
        <w:jc w:val="left"/>
        <w:rPr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5CB91A" wp14:editId="7C35D569">
            <wp:simplePos x="0" y="0"/>
            <wp:positionH relativeFrom="column">
              <wp:posOffset>52705</wp:posOffset>
            </wp:positionH>
            <wp:positionV relativeFrom="paragraph">
              <wp:posOffset>84455</wp:posOffset>
            </wp:positionV>
            <wp:extent cx="5529580" cy="1581150"/>
            <wp:effectExtent l="0" t="0" r="7620" b="635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958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3BAE25" w14:textId="77777777" w:rsidR="00C54F04" w:rsidRDefault="00C54F04">
      <w:pPr>
        <w:spacing w:line="360" w:lineRule="auto"/>
        <w:ind w:firstLineChars="200" w:firstLine="480"/>
        <w:jc w:val="left"/>
        <w:rPr>
          <w:color w:val="000000"/>
          <w:sz w:val="24"/>
        </w:rPr>
      </w:pPr>
    </w:p>
    <w:p w14:paraId="4C94A193" w14:textId="77777777" w:rsidR="00C54F04" w:rsidRDefault="00C54F04">
      <w:pPr>
        <w:spacing w:line="360" w:lineRule="auto"/>
        <w:ind w:firstLineChars="200" w:firstLine="480"/>
        <w:jc w:val="left"/>
        <w:rPr>
          <w:color w:val="000000"/>
          <w:sz w:val="24"/>
        </w:rPr>
      </w:pPr>
    </w:p>
    <w:p w14:paraId="7D075FF6" w14:textId="77777777" w:rsidR="00C54F04" w:rsidRDefault="00C54F04">
      <w:pPr>
        <w:spacing w:line="360" w:lineRule="auto"/>
        <w:ind w:firstLineChars="900" w:firstLine="2160"/>
        <w:jc w:val="left"/>
        <w:rPr>
          <w:color w:val="000000"/>
          <w:sz w:val="24"/>
        </w:rPr>
      </w:pPr>
    </w:p>
    <w:p w14:paraId="1EF95F39" w14:textId="77777777" w:rsidR="00C54F04" w:rsidRDefault="00C54F04">
      <w:pPr>
        <w:spacing w:line="360" w:lineRule="auto"/>
        <w:ind w:firstLineChars="1300" w:firstLine="2730"/>
        <w:jc w:val="left"/>
        <w:rPr>
          <w:rFonts w:eastAsia="仿宋"/>
          <w:color w:val="000000"/>
          <w:szCs w:val="21"/>
        </w:rPr>
      </w:pPr>
    </w:p>
    <w:p w14:paraId="5FC6D51D" w14:textId="77777777" w:rsidR="00C54F04" w:rsidRDefault="00C54F04">
      <w:pPr>
        <w:spacing w:line="360" w:lineRule="auto"/>
        <w:ind w:firstLineChars="1300" w:firstLine="2730"/>
        <w:jc w:val="left"/>
        <w:rPr>
          <w:rFonts w:eastAsia="仿宋"/>
          <w:color w:val="000000"/>
          <w:szCs w:val="21"/>
        </w:rPr>
      </w:pPr>
    </w:p>
    <w:p w14:paraId="69EA9758" w14:textId="77777777" w:rsidR="00C54F04" w:rsidRDefault="0000000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图1 不同施肥处理对酥梨产量影响</w:t>
      </w:r>
    </w:p>
    <w:p w14:paraId="67BCF4B1" w14:textId="77777777" w:rsidR="00C54F04" w:rsidRDefault="00000000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ascii="仿宋_GB2312" w:eastAsia="仿宋_GB2312" w:hAnsi="宋体" w:hint="eastAsia"/>
          <w:sz w:val="24"/>
        </w:rPr>
        <w:t>由表4可知，与T1相比，T2提升了酥梨果实的总糖，</w:t>
      </w:r>
      <w:proofErr w:type="spellStart"/>
      <w:r>
        <w:rPr>
          <w:rFonts w:ascii="仿宋_GB2312" w:eastAsia="仿宋_GB2312" w:hAnsi="宋体" w:hint="eastAsia"/>
          <w:sz w:val="24"/>
        </w:rPr>
        <w:t>Vc</w:t>
      </w:r>
      <w:proofErr w:type="spellEnd"/>
      <w:r>
        <w:rPr>
          <w:rFonts w:ascii="仿宋_GB2312" w:eastAsia="仿宋_GB2312" w:hAnsi="宋体" w:hint="eastAsia"/>
          <w:sz w:val="24"/>
        </w:rPr>
        <w:t>和糖酸比，降低了可滴定酸含量，提高了酥梨果实的品质。与优化施肥（T2）相比，T3、T4和T5 总糖含量分别显著下降3.4%，9.1%和12.9%，</w:t>
      </w:r>
      <w:proofErr w:type="spellStart"/>
      <w:r>
        <w:rPr>
          <w:rFonts w:ascii="仿宋_GB2312" w:eastAsia="仿宋_GB2312" w:hAnsi="宋体" w:hint="eastAsia"/>
          <w:sz w:val="24"/>
        </w:rPr>
        <w:t>Vc</w:t>
      </w:r>
      <w:proofErr w:type="spellEnd"/>
      <w:r>
        <w:rPr>
          <w:rFonts w:ascii="仿宋_GB2312" w:eastAsia="仿宋_GB2312" w:hAnsi="宋体" w:hint="eastAsia"/>
          <w:sz w:val="24"/>
        </w:rPr>
        <w:t>含量显著下降30.3%， 14.4%和26%，糖酸比下降8.8%，14.4%和18.6%。</w:t>
      </w:r>
    </w:p>
    <w:p w14:paraId="57040F74" w14:textId="77777777" w:rsidR="00C54F04" w:rsidRDefault="00000000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表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/>
          <w:sz w:val="24"/>
        </w:rPr>
        <w:t xml:space="preserve"> 不同施肥处理对酥梨品质影响</w:t>
      </w:r>
    </w:p>
    <w:tbl>
      <w:tblPr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826"/>
        <w:gridCol w:w="1871"/>
        <w:gridCol w:w="2073"/>
        <w:gridCol w:w="1990"/>
      </w:tblGrid>
      <w:tr w:rsidR="00C54F04" w14:paraId="4CCC70F9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51D1B739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处理</w:t>
            </w:r>
          </w:p>
        </w:tc>
        <w:tc>
          <w:tcPr>
            <w:tcW w:w="1061" w:type="pct"/>
            <w:noWrap/>
            <w:vAlign w:val="center"/>
          </w:tcPr>
          <w:p w14:paraId="756ED6A0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总糖(g/100g)</w:t>
            </w:r>
          </w:p>
        </w:tc>
        <w:tc>
          <w:tcPr>
            <w:tcW w:w="1087" w:type="pct"/>
            <w:noWrap/>
            <w:vAlign w:val="center"/>
          </w:tcPr>
          <w:p w14:paraId="382CBEEC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可滴定酸(%)</w:t>
            </w:r>
          </w:p>
        </w:tc>
        <w:tc>
          <w:tcPr>
            <w:tcW w:w="1204" w:type="pct"/>
            <w:noWrap/>
            <w:vAlign w:val="center"/>
          </w:tcPr>
          <w:p w14:paraId="27A534E2" w14:textId="19617CEF" w:rsidR="00C54F04" w:rsidRDefault="00000000">
            <w:pPr>
              <w:spacing w:line="360" w:lineRule="auto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proofErr w:type="spellStart"/>
            <w:r>
              <w:rPr>
                <w:rFonts w:ascii="仿宋_GB2312" w:eastAsia="仿宋_GB2312" w:hAnsi="宋体"/>
                <w:sz w:val="24"/>
              </w:rPr>
              <w:t>V</w:t>
            </w:r>
            <w:r w:rsidR="002408DE">
              <w:rPr>
                <w:rFonts w:ascii="仿宋_GB2312" w:eastAsia="仿宋_GB2312" w:hAnsi="宋体" w:hint="eastAsia"/>
                <w:sz w:val="24"/>
              </w:rPr>
              <w:t>c</w:t>
            </w:r>
            <w:proofErr w:type="spellEnd"/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mg/100g）</w:t>
            </w:r>
          </w:p>
        </w:tc>
        <w:tc>
          <w:tcPr>
            <w:tcW w:w="1156" w:type="pct"/>
            <w:noWrap/>
            <w:vAlign w:val="center"/>
          </w:tcPr>
          <w:p w14:paraId="07EA9114" w14:textId="77777777" w:rsidR="00C54F04" w:rsidRDefault="00000000">
            <w:pPr>
              <w:spacing w:line="360" w:lineRule="auto"/>
              <w:ind w:firstLineChars="200" w:firstLine="48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糖酸比</w:t>
            </w:r>
          </w:p>
        </w:tc>
      </w:tr>
      <w:tr w:rsidR="00C54F04" w14:paraId="73ED6553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5A16EFF3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T1</w:t>
            </w:r>
          </w:p>
        </w:tc>
        <w:tc>
          <w:tcPr>
            <w:tcW w:w="1061" w:type="pct"/>
            <w:noWrap/>
            <w:vAlign w:val="bottom"/>
          </w:tcPr>
          <w:p w14:paraId="3D0021E8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8.90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0.23ab</w:t>
            </w:r>
          </w:p>
        </w:tc>
        <w:tc>
          <w:tcPr>
            <w:tcW w:w="1087" w:type="pct"/>
            <w:noWrap/>
            <w:vAlign w:val="bottom"/>
          </w:tcPr>
          <w:p w14:paraId="492198F2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0.11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0.01a</w:t>
            </w:r>
          </w:p>
        </w:tc>
        <w:tc>
          <w:tcPr>
            <w:tcW w:w="1204" w:type="pct"/>
            <w:noWrap/>
            <w:vAlign w:val="bottom"/>
          </w:tcPr>
          <w:p w14:paraId="28F569B0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5.99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0.32c</w:t>
            </w:r>
          </w:p>
        </w:tc>
        <w:tc>
          <w:tcPr>
            <w:tcW w:w="1156" w:type="pct"/>
            <w:noWrap/>
            <w:vAlign w:val="bottom"/>
          </w:tcPr>
          <w:p w14:paraId="69E43C62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86.93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5.99b</w:t>
            </w:r>
          </w:p>
        </w:tc>
      </w:tr>
      <w:tr w:rsidR="00C54F04" w14:paraId="40E40FB5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7555064D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T2</w:t>
            </w:r>
          </w:p>
        </w:tc>
        <w:tc>
          <w:tcPr>
            <w:tcW w:w="1061" w:type="pct"/>
            <w:noWrap/>
            <w:vAlign w:val="bottom"/>
          </w:tcPr>
          <w:p w14:paraId="59DFC091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9.55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0.15a</w:t>
            </w:r>
          </w:p>
        </w:tc>
        <w:tc>
          <w:tcPr>
            <w:tcW w:w="1087" w:type="pct"/>
            <w:noWrap/>
            <w:vAlign w:val="bottom"/>
          </w:tcPr>
          <w:p w14:paraId="77EB599B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0.083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0.01b</w:t>
            </w:r>
          </w:p>
        </w:tc>
        <w:tc>
          <w:tcPr>
            <w:tcW w:w="1204" w:type="pct"/>
            <w:noWrap/>
            <w:vAlign w:val="bottom"/>
          </w:tcPr>
          <w:p w14:paraId="1AD994D5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8.28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0.34a</w:t>
            </w:r>
          </w:p>
        </w:tc>
        <w:tc>
          <w:tcPr>
            <w:tcW w:w="1156" w:type="pct"/>
            <w:noWrap/>
            <w:vAlign w:val="bottom"/>
          </w:tcPr>
          <w:p w14:paraId="282F7D3B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115.21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8.40a</w:t>
            </w:r>
          </w:p>
        </w:tc>
      </w:tr>
      <w:tr w:rsidR="00C54F04" w14:paraId="69ABED10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083B7357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T3</w:t>
            </w:r>
          </w:p>
        </w:tc>
        <w:tc>
          <w:tcPr>
            <w:tcW w:w="1061" w:type="pct"/>
            <w:noWrap/>
            <w:vAlign w:val="bottom"/>
          </w:tcPr>
          <w:p w14:paraId="6BC48940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9.22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0.64ab</w:t>
            </w:r>
          </w:p>
        </w:tc>
        <w:tc>
          <w:tcPr>
            <w:tcW w:w="1087" w:type="pct"/>
            <w:noWrap/>
            <w:vAlign w:val="bottom"/>
          </w:tcPr>
          <w:p w14:paraId="6DD24260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0.088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0.01b</w:t>
            </w:r>
          </w:p>
        </w:tc>
        <w:tc>
          <w:tcPr>
            <w:tcW w:w="1204" w:type="pct"/>
            <w:noWrap/>
            <w:vAlign w:val="bottom"/>
          </w:tcPr>
          <w:p w14:paraId="36494CE5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5.77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0.47c</w:t>
            </w:r>
          </w:p>
        </w:tc>
        <w:tc>
          <w:tcPr>
            <w:tcW w:w="1156" w:type="pct"/>
            <w:noWrap/>
            <w:vAlign w:val="bottom"/>
          </w:tcPr>
          <w:p w14:paraId="3517B5F3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104.97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9.52ab</w:t>
            </w:r>
          </w:p>
        </w:tc>
      </w:tr>
      <w:tr w:rsidR="00C54F04" w14:paraId="6B9F607C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03B26B16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T4</w:t>
            </w:r>
          </w:p>
        </w:tc>
        <w:tc>
          <w:tcPr>
            <w:tcW w:w="1061" w:type="pct"/>
            <w:noWrap/>
            <w:vAlign w:val="bottom"/>
          </w:tcPr>
          <w:p w14:paraId="6EC2F086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8.67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0.39b</w:t>
            </w:r>
          </w:p>
        </w:tc>
        <w:tc>
          <w:tcPr>
            <w:tcW w:w="1087" w:type="pct"/>
            <w:noWrap/>
            <w:vAlign w:val="bottom"/>
          </w:tcPr>
          <w:p w14:paraId="47923419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0.088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0.01b</w:t>
            </w:r>
          </w:p>
        </w:tc>
        <w:tc>
          <w:tcPr>
            <w:tcW w:w="1204" w:type="pct"/>
            <w:noWrap/>
            <w:vAlign w:val="bottom"/>
          </w:tcPr>
          <w:p w14:paraId="4EE580D1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7.08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0.58b</w:t>
            </w:r>
          </w:p>
        </w:tc>
        <w:tc>
          <w:tcPr>
            <w:tcW w:w="1156" w:type="pct"/>
            <w:noWrap/>
            <w:vAlign w:val="bottom"/>
          </w:tcPr>
          <w:p w14:paraId="558BB4AE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98.52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3.13a</w:t>
            </w:r>
          </w:p>
        </w:tc>
      </w:tr>
      <w:tr w:rsidR="00C54F04" w14:paraId="7F3FD5FB" w14:textId="77777777" w:rsidTr="002408DE">
        <w:trPr>
          <w:trHeight w:val="452"/>
        </w:trPr>
        <w:tc>
          <w:tcPr>
            <w:tcW w:w="492" w:type="pct"/>
            <w:noWrap/>
            <w:vAlign w:val="bottom"/>
          </w:tcPr>
          <w:p w14:paraId="5C4556C1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T5</w:t>
            </w:r>
          </w:p>
        </w:tc>
        <w:tc>
          <w:tcPr>
            <w:tcW w:w="1061" w:type="pct"/>
            <w:noWrap/>
            <w:vAlign w:val="bottom"/>
          </w:tcPr>
          <w:p w14:paraId="6B1DFE8E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8.32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0.52b</w:t>
            </w:r>
          </w:p>
        </w:tc>
        <w:tc>
          <w:tcPr>
            <w:tcW w:w="1087" w:type="pct"/>
            <w:noWrap/>
            <w:vAlign w:val="bottom"/>
          </w:tcPr>
          <w:p w14:paraId="78BB829F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0.088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0.00b</w:t>
            </w:r>
          </w:p>
        </w:tc>
        <w:tc>
          <w:tcPr>
            <w:tcW w:w="1204" w:type="pct"/>
            <w:noWrap/>
            <w:vAlign w:val="bottom"/>
          </w:tcPr>
          <w:p w14:paraId="4C8F0379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6.13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0.72c</w:t>
            </w:r>
          </w:p>
        </w:tc>
        <w:tc>
          <w:tcPr>
            <w:tcW w:w="1156" w:type="pct"/>
            <w:noWrap/>
            <w:vAlign w:val="bottom"/>
          </w:tcPr>
          <w:p w14:paraId="25852096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93.69</w:t>
            </w:r>
            <w:r>
              <w:rPr>
                <w:rFonts w:ascii="仿宋_GB2312" w:eastAsia="仿宋_GB2312" w:hAnsi="宋体"/>
                <w:sz w:val="24"/>
              </w:rPr>
              <w:t>±</w:t>
            </w:r>
            <w:r>
              <w:rPr>
                <w:rFonts w:ascii="仿宋_GB2312" w:eastAsia="仿宋_GB2312" w:hAnsi="宋体"/>
                <w:sz w:val="24"/>
              </w:rPr>
              <w:t>2.73b</w:t>
            </w:r>
          </w:p>
        </w:tc>
      </w:tr>
    </w:tbl>
    <w:p w14:paraId="4F0106ED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14:paraId="75739EF7" w14:textId="77777777" w:rsidR="00C54F04" w:rsidRDefault="00000000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、成立标准修订工作组</w:t>
      </w:r>
    </w:p>
    <w:p w14:paraId="6FA66702" w14:textId="77777777" w:rsidR="00C54F04" w:rsidRDefault="00000000">
      <w:pPr>
        <w:spacing w:line="360" w:lineRule="auto"/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为做好本标准的修订工作，我们严格按照GB/T 1.1-2020 《标准化工作导则 第1部分：标准化文件的结构和起草规则》的要求修订，专门成立了本标准修订工作小组，制定了整体修订计划。首先我们查阅了有关国家、行业和地方标准资料，购买了相关标准编写的图书和影像资料，学习和了解标准的编写内容、结构和要求。并且参加了由山西农业大学组织的“山西省地方技术标准编写专题</w:t>
      </w:r>
      <w:r>
        <w:rPr>
          <w:rFonts w:ascii="仿宋_GB2312" w:eastAsia="仿宋_GB2312" w:hAnsi="宋体" w:hint="eastAsia"/>
          <w:sz w:val="24"/>
        </w:rPr>
        <w:lastRenderedPageBreak/>
        <w:t>培训会”。通过学习和培训，明确了修订标准的结构和编写内容，标准修订程序以及有关细节要求，为做好本标准的修订工作奠定了一定基础。</w:t>
      </w:r>
    </w:p>
    <w:p w14:paraId="5DCAAC8A" w14:textId="77777777" w:rsidR="00C54F04" w:rsidRDefault="00000000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、调研考察</w:t>
      </w:r>
    </w:p>
    <w:p w14:paraId="434A0ADE" w14:textId="77777777" w:rsidR="00C54F04" w:rsidRDefault="00000000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多年的实地调研和基础研究，为本标准的修订提供了大量的、详实的、系统的试验数据；并通过多年的科技示范和推广工作，确定了本标准修订的基本内容和思路，形成了本标准的基本构架。</w:t>
      </w:r>
    </w:p>
    <w:p w14:paraId="0A8FAD3C" w14:textId="77777777" w:rsidR="00C54F04" w:rsidRDefault="00000000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、收集资料</w:t>
      </w:r>
    </w:p>
    <w:p w14:paraId="44F58E52" w14:textId="77777777" w:rsidR="00C54F04" w:rsidRDefault="00000000">
      <w:pPr>
        <w:spacing w:line="400" w:lineRule="exact"/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2000年以来，项目组一直置身于果树测土配方施肥技术的研究和推广工作，2009年，项目组承担的山西省院级项目“酥梨高效施肥技术的研究”，对我省酥梨生产的养分需求规律做了研究。2020年针对我省酥梨水肥一体化技术中的施肥灌溉涉及的时间、种类、施肥量、灌溉量、施肥灌溉的次数、方法等关键技术做了相关的研究。在多年的基础研究工作、科技示范推广以及实地调研的基础上，系统的分析和总结了试验数据，并查阅国内外大量相关资料后，于2024年1月完成了《酥梨水肥一体化技术规程》的修订草案稿。</w:t>
      </w:r>
    </w:p>
    <w:p w14:paraId="4235FBC2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、修订文本</w:t>
      </w:r>
    </w:p>
    <w:p w14:paraId="2C081F5D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2024</w:t>
      </w:r>
      <w:r w:rsidRPr="0079035A">
        <w:rPr>
          <w:rFonts w:eastAsia="仿宋_GB2312" w:hint="eastAsia"/>
          <w:bCs/>
          <w:sz w:val="24"/>
        </w:rPr>
        <w:t>年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月中旬标准起草工作组采纳专家组意见，经过</w:t>
      </w:r>
      <w:r w:rsidRPr="0079035A">
        <w:rPr>
          <w:rFonts w:eastAsia="仿宋_GB2312" w:hint="eastAsia"/>
          <w:bCs/>
          <w:sz w:val="24"/>
        </w:rPr>
        <w:t>3</w:t>
      </w:r>
      <w:r w:rsidRPr="0079035A">
        <w:rPr>
          <w:rFonts w:eastAsia="仿宋_GB2312" w:hint="eastAsia"/>
          <w:bCs/>
          <w:sz w:val="24"/>
        </w:rPr>
        <w:t>次修改。主要修改成果：</w:t>
      </w:r>
      <w:r w:rsidRPr="0079035A">
        <w:rPr>
          <w:rFonts w:eastAsia="仿宋_GB2312" w:hint="eastAsia"/>
          <w:bCs/>
          <w:sz w:val="24"/>
        </w:rPr>
        <w:t>A</w:t>
      </w:r>
      <w:r w:rsidRPr="0079035A">
        <w:rPr>
          <w:rFonts w:eastAsia="仿宋_GB2312" w:hint="eastAsia"/>
          <w:bCs/>
          <w:sz w:val="24"/>
        </w:rPr>
        <w:t>、标准结构框架的修改；</w:t>
      </w:r>
      <w:r w:rsidRPr="0079035A">
        <w:rPr>
          <w:rFonts w:eastAsia="仿宋_GB2312" w:hint="eastAsia"/>
          <w:bCs/>
          <w:sz w:val="24"/>
        </w:rPr>
        <w:t>B</w:t>
      </w:r>
      <w:r w:rsidRPr="0079035A">
        <w:rPr>
          <w:rFonts w:eastAsia="仿宋_GB2312" w:hint="eastAsia"/>
          <w:bCs/>
          <w:sz w:val="24"/>
        </w:rPr>
        <w:t>、标准内容的充实；</w:t>
      </w:r>
      <w:r w:rsidRPr="0079035A">
        <w:rPr>
          <w:rFonts w:eastAsia="仿宋_GB2312" w:hint="eastAsia"/>
          <w:bCs/>
          <w:sz w:val="24"/>
        </w:rPr>
        <w:t>C</w:t>
      </w:r>
      <w:r w:rsidRPr="0079035A">
        <w:rPr>
          <w:rFonts w:eastAsia="仿宋_GB2312" w:hint="eastAsia"/>
          <w:bCs/>
          <w:sz w:val="24"/>
        </w:rPr>
        <w:t>、专家意见的采纳。</w:t>
      </w:r>
    </w:p>
    <w:p w14:paraId="4EA7FD1D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5</w:t>
      </w:r>
      <w:r w:rsidRPr="0079035A">
        <w:rPr>
          <w:rFonts w:eastAsia="仿宋_GB2312" w:hint="eastAsia"/>
          <w:bCs/>
          <w:sz w:val="24"/>
        </w:rPr>
        <w:t>、标准评审</w:t>
      </w:r>
    </w:p>
    <w:p w14:paraId="1DA62292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2024</w:t>
      </w:r>
      <w:r w:rsidRPr="0079035A">
        <w:rPr>
          <w:rFonts w:eastAsia="仿宋_GB2312" w:hint="eastAsia"/>
          <w:bCs/>
          <w:sz w:val="24"/>
        </w:rPr>
        <w:t>年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月</w:t>
      </w:r>
      <w:r w:rsidRPr="0079035A">
        <w:rPr>
          <w:rFonts w:eastAsia="仿宋_GB2312" w:hint="eastAsia"/>
          <w:bCs/>
          <w:sz w:val="24"/>
        </w:rPr>
        <w:t>20</w:t>
      </w:r>
      <w:r w:rsidRPr="0079035A">
        <w:rPr>
          <w:rFonts w:eastAsia="仿宋_GB2312" w:hint="eastAsia"/>
          <w:bCs/>
          <w:sz w:val="24"/>
        </w:rPr>
        <w:t>日邀请山西省果品组专家组组长及成员进行标准评审，并进行进一步修改。</w:t>
      </w:r>
    </w:p>
    <w:p w14:paraId="0988F723" w14:textId="77777777" w:rsidR="0079035A" w:rsidRPr="0079035A" w:rsidRDefault="0079035A" w:rsidP="0079035A">
      <w:pPr>
        <w:numPr>
          <w:ilvl w:val="0"/>
          <w:numId w:val="4"/>
        </w:num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征求意见</w:t>
      </w:r>
    </w:p>
    <w:p w14:paraId="667DA0C0" w14:textId="0057D5DD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2024</w:t>
      </w:r>
      <w:r w:rsidRPr="0079035A">
        <w:rPr>
          <w:rFonts w:eastAsia="仿宋_GB2312" w:hint="eastAsia"/>
          <w:bCs/>
          <w:sz w:val="24"/>
        </w:rPr>
        <w:t>年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月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日，报省市场监督管理局挂网向社会公开征求意见</w:t>
      </w:r>
      <w:r w:rsidRPr="0079035A">
        <w:rPr>
          <w:rFonts w:eastAsia="仿宋_GB2312" w:hint="eastAsia"/>
          <w:bCs/>
          <w:sz w:val="24"/>
        </w:rPr>
        <w:t>30</w:t>
      </w:r>
      <w:r w:rsidRPr="0079035A">
        <w:rPr>
          <w:rFonts w:eastAsia="仿宋_GB2312" w:hint="eastAsia"/>
          <w:bCs/>
          <w:sz w:val="24"/>
        </w:rPr>
        <w:t>天。</w:t>
      </w:r>
    </w:p>
    <w:p w14:paraId="7C8CD7F0" w14:textId="77777777" w:rsidR="0079035A" w:rsidRPr="0079035A" w:rsidRDefault="0079035A" w:rsidP="0079035A">
      <w:pPr>
        <w:numPr>
          <w:ilvl w:val="0"/>
          <w:numId w:val="4"/>
        </w:num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完善文本</w:t>
      </w:r>
    </w:p>
    <w:p w14:paraId="42450B7F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2024</w:t>
      </w:r>
      <w:r w:rsidRPr="0079035A">
        <w:rPr>
          <w:rFonts w:eastAsia="仿宋_GB2312" w:hint="eastAsia"/>
          <w:bCs/>
          <w:sz w:val="24"/>
        </w:rPr>
        <w:t>年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月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日，进一步修改完善后形成标准送审稿，标委会表决通过。</w:t>
      </w:r>
    </w:p>
    <w:p w14:paraId="6DD6E3F8" w14:textId="77777777" w:rsidR="0079035A" w:rsidRPr="0079035A" w:rsidRDefault="0079035A" w:rsidP="0079035A">
      <w:pPr>
        <w:numPr>
          <w:ilvl w:val="0"/>
          <w:numId w:val="4"/>
        </w:num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形成报批稿、提交报批材料</w:t>
      </w:r>
    </w:p>
    <w:p w14:paraId="67F4A351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2024</w:t>
      </w:r>
      <w:r w:rsidRPr="0079035A">
        <w:rPr>
          <w:rFonts w:eastAsia="仿宋_GB2312" w:hint="eastAsia"/>
          <w:bCs/>
          <w:sz w:val="24"/>
        </w:rPr>
        <w:t>年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月</w:t>
      </w:r>
      <w:r w:rsidRPr="0079035A">
        <w:rPr>
          <w:rFonts w:eastAsia="仿宋_GB2312" w:hint="eastAsia"/>
          <w:bCs/>
          <w:sz w:val="24"/>
        </w:rPr>
        <w:t>**</w:t>
      </w:r>
      <w:r w:rsidRPr="0079035A">
        <w:rPr>
          <w:rFonts w:eastAsia="仿宋_GB2312" w:hint="eastAsia"/>
          <w:bCs/>
          <w:sz w:val="24"/>
        </w:rPr>
        <w:t>日，在采纳评审专家和挂网公开征求到的意见基础上，对标准文本和编制说明进行补充修改，形成报批稿，提交报批材料。</w:t>
      </w:r>
    </w:p>
    <w:p w14:paraId="56AAE6AD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14:paraId="75605908" w14:textId="77777777" w:rsidR="00C54F04" w:rsidRDefault="00000000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eastAsia="仿宋_GB2312" w:hint="eastAsia"/>
          <w:bCs/>
          <w:sz w:val="24"/>
        </w:rPr>
        <w:t>本标准严格遵循《中国人民共和国农业法》、《中华人民共和国农业技术推广法》、《中华人民共和国水土保持法》、《中华人民共和国节约能源法》、《中华人民共和国环境保护法》、《中华人民共和国食品安全法》等法律、法规，并</w:t>
      </w:r>
      <w:r>
        <w:rPr>
          <w:rFonts w:eastAsia="仿宋_GB2312" w:hint="eastAsia"/>
          <w:bCs/>
          <w:sz w:val="24"/>
        </w:rPr>
        <w:lastRenderedPageBreak/>
        <w:t>注意协调。与现行标准不存在相矛盾的地方</w:t>
      </w:r>
      <w:r>
        <w:rPr>
          <w:rFonts w:hint="eastAsia"/>
          <w:color w:val="000000"/>
          <w:sz w:val="24"/>
        </w:rPr>
        <w:t>。</w:t>
      </w:r>
    </w:p>
    <w:p w14:paraId="0C446E1D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14:paraId="3840F8B8" w14:textId="77777777" w:rsidR="00C54F04" w:rsidRDefault="00000000">
      <w:pPr>
        <w:spacing w:line="400" w:lineRule="exact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eastAsia="仿宋_GB2312" w:hint="eastAsia"/>
          <w:bCs/>
          <w:sz w:val="24"/>
        </w:rPr>
        <w:t>5</w:t>
      </w:r>
      <w:r>
        <w:rPr>
          <w:rFonts w:eastAsia="仿宋_GB2312" w:hint="eastAsia"/>
          <w:bCs/>
          <w:sz w:val="24"/>
        </w:rPr>
        <w:t>个方面对文本进行了修订，其中：</w:t>
      </w:r>
    </w:p>
    <w:p w14:paraId="3CBFA9DC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1</w:t>
      </w:r>
      <w:r w:rsidRPr="0079035A">
        <w:rPr>
          <w:rFonts w:eastAsia="仿宋_GB2312" w:hint="eastAsia"/>
          <w:bCs/>
          <w:sz w:val="24"/>
        </w:rPr>
        <w:t>、涉及结构性调整的主要有</w:t>
      </w:r>
      <w:r w:rsidRPr="0079035A">
        <w:rPr>
          <w:rFonts w:eastAsia="仿宋_GB2312" w:hint="eastAsia"/>
          <w:bCs/>
          <w:sz w:val="24"/>
        </w:rPr>
        <w:t>1</w:t>
      </w:r>
      <w:r w:rsidRPr="0079035A">
        <w:rPr>
          <w:rFonts w:eastAsia="仿宋_GB2312" w:hint="eastAsia"/>
          <w:bCs/>
          <w:sz w:val="24"/>
        </w:rPr>
        <w:t>项：</w:t>
      </w:r>
    </w:p>
    <w:p w14:paraId="1FE42947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（</w:t>
      </w:r>
      <w:r w:rsidRPr="0079035A">
        <w:rPr>
          <w:rFonts w:eastAsia="仿宋_GB2312" w:hint="eastAsia"/>
          <w:bCs/>
          <w:sz w:val="24"/>
        </w:rPr>
        <w:t>1</w:t>
      </w:r>
      <w:r w:rsidRPr="0079035A">
        <w:rPr>
          <w:rFonts w:eastAsia="仿宋_GB2312" w:hint="eastAsia"/>
          <w:bCs/>
          <w:sz w:val="24"/>
        </w:rPr>
        <w:t>）增加了“</w:t>
      </w:r>
      <w:r w:rsidRPr="0079035A">
        <w:rPr>
          <w:rFonts w:eastAsia="仿宋_GB2312" w:hint="eastAsia"/>
          <w:bCs/>
          <w:sz w:val="24"/>
        </w:rPr>
        <w:t xml:space="preserve">8 </w:t>
      </w:r>
      <w:r w:rsidRPr="0079035A">
        <w:rPr>
          <w:rFonts w:eastAsia="仿宋_GB2312" w:hint="eastAsia"/>
          <w:bCs/>
          <w:sz w:val="24"/>
        </w:rPr>
        <w:t>技术实施档案管理”。修订原因：《技术规程》更加完整。</w:t>
      </w:r>
    </w:p>
    <w:p w14:paraId="0F103FCB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2</w:t>
      </w:r>
      <w:r w:rsidRPr="0079035A">
        <w:rPr>
          <w:rFonts w:eastAsia="仿宋_GB2312" w:hint="eastAsia"/>
          <w:bCs/>
          <w:sz w:val="24"/>
        </w:rPr>
        <w:t>、涉及表述与编辑性修改的主要有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项：</w:t>
      </w:r>
    </w:p>
    <w:p w14:paraId="7D6C0EA8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（</w:t>
      </w:r>
      <w:r w:rsidRPr="0079035A">
        <w:rPr>
          <w:rFonts w:eastAsia="仿宋_GB2312" w:hint="eastAsia"/>
          <w:bCs/>
          <w:sz w:val="24"/>
        </w:rPr>
        <w:t>1</w:t>
      </w:r>
      <w:r w:rsidRPr="0079035A">
        <w:rPr>
          <w:rFonts w:eastAsia="仿宋_GB2312" w:hint="eastAsia"/>
          <w:bCs/>
          <w:sz w:val="24"/>
        </w:rPr>
        <w:t>）更改了“</w:t>
      </w:r>
      <w:r w:rsidRPr="0079035A">
        <w:rPr>
          <w:rFonts w:eastAsia="仿宋_GB2312" w:hint="eastAsia"/>
          <w:bCs/>
          <w:sz w:val="24"/>
        </w:rPr>
        <w:t xml:space="preserve">3.1 </w:t>
      </w:r>
      <w:r w:rsidRPr="0079035A">
        <w:rPr>
          <w:rFonts w:eastAsia="仿宋_GB2312" w:hint="eastAsia"/>
          <w:bCs/>
          <w:sz w:val="24"/>
        </w:rPr>
        <w:t>滴灌”“</w:t>
      </w:r>
      <w:r w:rsidRPr="0079035A">
        <w:rPr>
          <w:rFonts w:eastAsia="仿宋_GB2312" w:hint="eastAsia"/>
          <w:bCs/>
          <w:sz w:val="24"/>
        </w:rPr>
        <w:t xml:space="preserve">3.2 </w:t>
      </w:r>
      <w:r w:rsidRPr="0079035A">
        <w:rPr>
          <w:rFonts w:eastAsia="仿宋_GB2312" w:hint="eastAsia"/>
          <w:bCs/>
          <w:sz w:val="24"/>
        </w:rPr>
        <w:t>水肥一体化”等概念。修订原因：概念更加准确。</w:t>
      </w:r>
    </w:p>
    <w:p w14:paraId="357B40E9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（</w:t>
      </w:r>
      <w:r w:rsidRPr="0079035A">
        <w:rPr>
          <w:rFonts w:eastAsia="仿宋_GB2312" w:hint="eastAsia"/>
          <w:bCs/>
          <w:sz w:val="24"/>
        </w:rPr>
        <w:t>2</w:t>
      </w:r>
      <w:r w:rsidRPr="0079035A">
        <w:rPr>
          <w:rFonts w:eastAsia="仿宋_GB2312" w:hint="eastAsia"/>
          <w:bCs/>
          <w:sz w:val="24"/>
        </w:rPr>
        <w:t>）更改了“</w:t>
      </w:r>
      <w:r w:rsidRPr="0079035A">
        <w:rPr>
          <w:rFonts w:eastAsia="仿宋_GB2312" w:hint="eastAsia"/>
          <w:bCs/>
          <w:sz w:val="24"/>
        </w:rPr>
        <w:t xml:space="preserve">5.2 </w:t>
      </w:r>
      <w:r w:rsidRPr="0079035A">
        <w:rPr>
          <w:rFonts w:eastAsia="仿宋_GB2312" w:hint="eastAsia"/>
          <w:bCs/>
          <w:sz w:val="24"/>
        </w:rPr>
        <w:t>管网布置”。修订原因：增加</w:t>
      </w:r>
      <w:proofErr w:type="gramStart"/>
      <w:r w:rsidRPr="0079035A">
        <w:rPr>
          <w:rFonts w:eastAsia="仿宋_GB2312" w:hint="eastAsia"/>
          <w:bCs/>
          <w:sz w:val="24"/>
        </w:rPr>
        <w:t>滴灌带</w:t>
      </w:r>
      <w:proofErr w:type="gramEnd"/>
      <w:r w:rsidRPr="0079035A">
        <w:rPr>
          <w:rFonts w:eastAsia="仿宋_GB2312" w:hint="eastAsia"/>
          <w:bCs/>
          <w:sz w:val="24"/>
        </w:rPr>
        <w:t>数量、摆放方式等内容。</w:t>
      </w:r>
    </w:p>
    <w:p w14:paraId="54760A7A" w14:textId="77777777" w:rsidR="0079035A" w:rsidRP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（</w:t>
      </w:r>
      <w:r w:rsidRPr="0079035A">
        <w:rPr>
          <w:rFonts w:eastAsia="仿宋_GB2312" w:hint="eastAsia"/>
          <w:bCs/>
          <w:sz w:val="24"/>
        </w:rPr>
        <w:t>3</w:t>
      </w:r>
      <w:r w:rsidRPr="0079035A">
        <w:rPr>
          <w:rFonts w:eastAsia="仿宋_GB2312" w:hint="eastAsia"/>
          <w:bCs/>
          <w:sz w:val="24"/>
        </w:rPr>
        <w:t>）更改了第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章。修订原因：将第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章分为“</w:t>
      </w:r>
      <w:r w:rsidRPr="0079035A">
        <w:rPr>
          <w:rFonts w:eastAsia="仿宋_GB2312" w:hint="eastAsia"/>
          <w:bCs/>
          <w:sz w:val="24"/>
        </w:rPr>
        <w:t xml:space="preserve">4 </w:t>
      </w:r>
      <w:r w:rsidRPr="0079035A">
        <w:rPr>
          <w:rFonts w:eastAsia="仿宋_GB2312" w:hint="eastAsia"/>
          <w:bCs/>
          <w:sz w:val="24"/>
        </w:rPr>
        <w:t>水源与肥料”和“</w:t>
      </w:r>
      <w:r w:rsidRPr="0079035A">
        <w:rPr>
          <w:rFonts w:eastAsia="仿宋_GB2312" w:hint="eastAsia"/>
          <w:bCs/>
          <w:sz w:val="24"/>
        </w:rPr>
        <w:t xml:space="preserve">5 </w:t>
      </w:r>
      <w:r w:rsidRPr="0079035A">
        <w:rPr>
          <w:rFonts w:eastAsia="仿宋_GB2312" w:hint="eastAsia"/>
          <w:bCs/>
          <w:sz w:val="24"/>
        </w:rPr>
        <w:t>水肥设施和设备”两章，更加准确、完整。</w:t>
      </w:r>
    </w:p>
    <w:p w14:paraId="3A09423E" w14:textId="77777777" w:rsidR="0079035A" w:rsidRDefault="0079035A" w:rsidP="0079035A">
      <w:pPr>
        <w:spacing w:line="360" w:lineRule="auto"/>
        <w:ind w:firstLineChars="200" w:firstLine="480"/>
        <w:outlineLvl w:val="0"/>
        <w:rPr>
          <w:rFonts w:eastAsia="仿宋_GB2312"/>
          <w:bCs/>
          <w:sz w:val="24"/>
        </w:rPr>
      </w:pPr>
      <w:r w:rsidRPr="0079035A">
        <w:rPr>
          <w:rFonts w:eastAsia="仿宋_GB2312" w:hint="eastAsia"/>
          <w:bCs/>
          <w:sz w:val="24"/>
        </w:rPr>
        <w:t>（</w:t>
      </w:r>
      <w:r w:rsidRPr="0079035A">
        <w:rPr>
          <w:rFonts w:eastAsia="仿宋_GB2312" w:hint="eastAsia"/>
          <w:bCs/>
          <w:sz w:val="24"/>
        </w:rPr>
        <w:t>4</w:t>
      </w:r>
      <w:r w:rsidRPr="0079035A">
        <w:rPr>
          <w:rFonts w:eastAsia="仿宋_GB2312" w:hint="eastAsia"/>
          <w:bCs/>
          <w:sz w:val="24"/>
        </w:rPr>
        <w:t>）更改了“</w:t>
      </w:r>
      <w:r w:rsidRPr="0079035A">
        <w:rPr>
          <w:rFonts w:eastAsia="仿宋_GB2312" w:hint="eastAsia"/>
          <w:bCs/>
          <w:sz w:val="24"/>
        </w:rPr>
        <w:t xml:space="preserve">6 </w:t>
      </w:r>
      <w:r w:rsidRPr="0079035A">
        <w:rPr>
          <w:rFonts w:eastAsia="仿宋_GB2312" w:hint="eastAsia"/>
          <w:bCs/>
          <w:sz w:val="24"/>
        </w:rPr>
        <w:t>水肥管理”。修订原因：重新划分了“</w:t>
      </w:r>
      <w:r w:rsidRPr="0079035A">
        <w:rPr>
          <w:rFonts w:eastAsia="仿宋_GB2312" w:hint="eastAsia"/>
          <w:bCs/>
          <w:sz w:val="24"/>
        </w:rPr>
        <w:t xml:space="preserve">6 </w:t>
      </w:r>
      <w:r w:rsidRPr="0079035A">
        <w:rPr>
          <w:rFonts w:eastAsia="仿宋_GB2312" w:hint="eastAsia"/>
          <w:bCs/>
          <w:sz w:val="24"/>
        </w:rPr>
        <w:t>水肥管理”灌溉、施肥时期。</w:t>
      </w:r>
    </w:p>
    <w:p w14:paraId="6EF79195" w14:textId="0252B57E" w:rsidR="00C54F04" w:rsidRDefault="00000000" w:rsidP="0079035A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14:paraId="2A98E48F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本标准在修订过程中，经过山西省果业工作总站、太原理工大学、山西农业大学等5位专家的审查，就标准的文件引用、技术参数及框架结构形成10条意见，采纳10条，未采纳0条。具体修改意见</w:t>
      </w:r>
      <w:proofErr w:type="gramStart"/>
      <w:r>
        <w:rPr>
          <w:rFonts w:ascii="仿宋_GB2312" w:eastAsia="仿宋_GB2312" w:hAnsi="宋体" w:hint="eastAsia"/>
          <w:sz w:val="24"/>
        </w:rPr>
        <w:t>见</w:t>
      </w:r>
      <w:proofErr w:type="gramEnd"/>
      <w:r>
        <w:rPr>
          <w:rFonts w:ascii="仿宋_GB2312" w:eastAsia="仿宋_GB2312" w:hAnsi="宋体" w:hint="eastAsia"/>
          <w:sz w:val="24"/>
        </w:rPr>
        <w:t>附件《征求意见汇总表》。</w:t>
      </w:r>
    </w:p>
    <w:p w14:paraId="46851D49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</w:t>
      </w:r>
      <w:proofErr w:type="gramStart"/>
      <w:r>
        <w:rPr>
          <w:rFonts w:ascii="黑体" w:eastAsia="黑体"/>
          <w:sz w:val="24"/>
        </w:rPr>
        <w:t>规</w:t>
      </w:r>
      <w:proofErr w:type="gramEnd"/>
      <w:r>
        <w:rPr>
          <w:rFonts w:ascii="黑体" w:eastAsia="黑体"/>
          <w:sz w:val="24"/>
        </w:rPr>
        <w:t>引用或采用国际标准和国外先进标准，以及与国内外同类标准水平的对比情况</w:t>
      </w:r>
    </w:p>
    <w:p w14:paraId="7BC16377" w14:textId="77777777" w:rsidR="00C54F04" w:rsidRDefault="00000000">
      <w:pPr>
        <w:spacing w:line="360" w:lineRule="auto"/>
        <w:ind w:firstLineChars="200" w:firstLine="480"/>
        <w:outlineLvl w:val="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酥梨水肥一体化技术是酥梨生产节水、节肥、节药和省工的重要手段之一。我国目前的有关标准主要针对灌溉方面、蔬菜的，针对果树的很少，如国标《农业灌溉设备滴管技术规范和试验方法》（GB/T 17187）、《新疆大田膜下滴管系统相关技术规程》、《蔬菜水肥一体化技术操作规程》、《香蕉水肥一体化技术规程》等。现有的标准对水肥一体化生产中的微灌工程的设计、安装及操作维护已经十分成熟，而目前还未有针对酥梨制定的水肥一体化相关标准的颁布，主要是缺乏酥梨的养分需求规律和灌溉施肥模式。本标准系统的提出了酥梨水肥一体</w:t>
      </w:r>
      <w:r>
        <w:rPr>
          <w:rFonts w:ascii="仿宋_GB2312" w:eastAsia="仿宋_GB2312" w:hAnsi="宋体" w:hint="eastAsia"/>
          <w:sz w:val="24"/>
        </w:rPr>
        <w:lastRenderedPageBreak/>
        <w:t>化技术设备的选材安装、操作维护、适宜梨树养分需求规律和水肥一体化技术实施的施肥、灌溉模式。并结合多年的试验数据制定了酥梨水肥一体化灌溉制度和施肥制度。通过本标准的修订和实施，不仅起到节水、节肥效果，而且改善了酥梨生产的生长环境，减轻杂草、病虫害发生，降低农药使用次数和用量，提高酥梨品质，推进了农业标准化、现代化、集约化的生产进程。</w:t>
      </w:r>
    </w:p>
    <w:p w14:paraId="4511C64A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作为推荐性标准或者强制性标准的建议及其理由。</w:t>
      </w:r>
    </w:p>
    <w:p w14:paraId="55F0DAAD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sz w:val="24"/>
        </w:rPr>
        <w:t>建议本标准为推荐性标准。</w:t>
      </w:r>
    </w:p>
    <w:p w14:paraId="1401F7DE" w14:textId="77777777" w:rsidR="00C54F04" w:rsidRDefault="00000000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14:paraId="2A8EAB09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1、在本标准确定颁布后，必须确保标准文本的充足供应，让每个使用者都能及时得到文本。这是保证规程贯彻实施的基础。</w:t>
      </w:r>
    </w:p>
    <w:p w14:paraId="3E443244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2、在颁布实施后，通过媒体报道、报纸发布、发放宣传资料等宣传手段，加大本标准的宣传力度。</w:t>
      </w:r>
    </w:p>
    <w:p w14:paraId="594924CE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3、与当地农业相关部门举办各种方式的培训班，培养当地种植能手和技术骨干形成技术宣传网络。</w:t>
      </w:r>
    </w:p>
    <w:p w14:paraId="6615E553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4、结合相关科研项目在各大生产园区以及合作社，建立示范推广基地，做到手把手教会农民干，摆样板做给农民看。</w:t>
      </w:r>
    </w:p>
    <w:p w14:paraId="710B8FF8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5、推广辐射周边果农实施本标准的具体技术内容，确保农民增收、农业增效，改变我省酥梨生产“高投入、低产出、低效益”的局面。</w:t>
      </w:r>
    </w:p>
    <w:p w14:paraId="639F0FBB" w14:textId="77777777" w:rsidR="00C54F04" w:rsidRDefault="00C54F04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</w:p>
    <w:p w14:paraId="682B75D6" w14:textId="77777777" w:rsidR="00C54F04" w:rsidRDefault="00C54F04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  <w:sectPr w:rsidR="00C54F04">
          <w:footerReference w:type="first" r:id="rId9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</w:p>
    <w:p w14:paraId="66548B13" w14:textId="77777777" w:rsidR="00C54F04" w:rsidRDefault="00000000">
      <w:pPr>
        <w:spacing w:line="360" w:lineRule="auto"/>
        <w:ind w:firstLineChars="200" w:firstLine="48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lastRenderedPageBreak/>
        <w:t>附表</w:t>
      </w:r>
    </w:p>
    <w:p w14:paraId="54684D2A" w14:textId="77777777" w:rsidR="00C54F04" w:rsidRDefault="00000000">
      <w:pPr>
        <w:jc w:val="center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《酥梨水肥一体化技术规程》地方标准征求意见汇总处理表</w:t>
      </w:r>
    </w:p>
    <w:p w14:paraId="4065285D" w14:textId="77777777" w:rsidR="00C54F04" w:rsidRDefault="00000000">
      <w:pPr>
        <w:snapToGrid w:val="0"/>
        <w:spacing w:line="480" w:lineRule="exac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4"/>
        </w:rPr>
        <w:t>起草单位：山西农业大学等     承办人：</w:t>
      </w:r>
      <w:proofErr w:type="gramStart"/>
      <w:r>
        <w:rPr>
          <w:rFonts w:ascii="仿宋_GB2312" w:eastAsia="仿宋_GB2312" w:hAnsi="宋体" w:hint="eastAsia"/>
          <w:sz w:val="24"/>
        </w:rPr>
        <w:t>闫</w:t>
      </w:r>
      <w:proofErr w:type="gramEnd"/>
      <w:r>
        <w:rPr>
          <w:rFonts w:ascii="仿宋_GB2312" w:eastAsia="仿宋_GB2312" w:hAnsi="宋体" w:hint="eastAsia"/>
          <w:sz w:val="24"/>
        </w:rPr>
        <w:t xml:space="preserve">  敏         联系电话：13453440596               填写时间：2024年1月12</w:t>
      </w:r>
      <w:r>
        <w:rPr>
          <w:rFonts w:ascii="仿宋_GB2312" w:eastAsia="仿宋_GB2312" w:hAnsi="宋体" w:hint="eastAsia"/>
          <w:sz w:val="28"/>
          <w:szCs w:val="28"/>
        </w:rPr>
        <w:t xml:space="preserve">日 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1371"/>
        <w:gridCol w:w="4744"/>
        <w:gridCol w:w="2531"/>
        <w:gridCol w:w="1954"/>
        <w:gridCol w:w="2514"/>
      </w:tblGrid>
      <w:tr w:rsidR="00C54F04" w14:paraId="4CA33C35" w14:textId="77777777">
        <w:trPr>
          <w:trHeight w:val="599"/>
          <w:jc w:val="center"/>
        </w:trPr>
        <w:tc>
          <w:tcPr>
            <w:tcW w:w="835" w:type="dxa"/>
            <w:vAlign w:val="center"/>
          </w:tcPr>
          <w:p w14:paraId="03CA450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394" w:type="dxa"/>
            <w:vAlign w:val="center"/>
          </w:tcPr>
          <w:p w14:paraId="01C74E87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标准章条编号</w:t>
            </w:r>
            <w:proofErr w:type="gramEnd"/>
          </w:p>
        </w:tc>
        <w:tc>
          <w:tcPr>
            <w:tcW w:w="4821" w:type="dxa"/>
            <w:vAlign w:val="center"/>
          </w:tcPr>
          <w:p w14:paraId="561C45DE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意见内容</w:t>
            </w:r>
          </w:p>
        </w:tc>
        <w:tc>
          <w:tcPr>
            <w:tcW w:w="2572" w:type="dxa"/>
            <w:vAlign w:val="center"/>
          </w:tcPr>
          <w:p w14:paraId="15B131A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提出单位</w:t>
            </w:r>
          </w:p>
          <w:p w14:paraId="49CB1356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（或个人）</w:t>
            </w:r>
          </w:p>
        </w:tc>
        <w:tc>
          <w:tcPr>
            <w:tcW w:w="1986" w:type="dxa"/>
            <w:vAlign w:val="center"/>
          </w:tcPr>
          <w:p w14:paraId="0EB19626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处理意见</w:t>
            </w:r>
          </w:p>
          <w:p w14:paraId="4DD9E35B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（采纳</w:t>
            </w:r>
            <w:r>
              <w:rPr>
                <w:rFonts w:ascii="仿宋_GB2312" w:eastAsia="仿宋_GB2312" w:hAnsi="宋体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不采纳）</w:t>
            </w:r>
          </w:p>
        </w:tc>
        <w:tc>
          <w:tcPr>
            <w:tcW w:w="2555" w:type="dxa"/>
            <w:vAlign w:val="center"/>
          </w:tcPr>
          <w:p w14:paraId="3AF3F2B3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意见处理说明</w:t>
            </w:r>
          </w:p>
          <w:p w14:paraId="3BB2924C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（不采纳理由等）</w:t>
            </w:r>
          </w:p>
        </w:tc>
      </w:tr>
      <w:tr w:rsidR="00C54F04" w14:paraId="36509486" w14:textId="77777777">
        <w:trPr>
          <w:trHeight w:val="599"/>
          <w:jc w:val="center"/>
        </w:trPr>
        <w:tc>
          <w:tcPr>
            <w:tcW w:w="295" w:type="pct"/>
            <w:vAlign w:val="center"/>
          </w:tcPr>
          <w:p w14:paraId="2D49ABD9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492" w:type="pct"/>
            <w:vAlign w:val="center"/>
          </w:tcPr>
          <w:p w14:paraId="7E528190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702" w:type="pct"/>
            <w:vAlign w:val="center"/>
          </w:tcPr>
          <w:p w14:paraId="3E417A6F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界定了标准的适用范围，将标准的适用范围界定为结果树</w:t>
            </w:r>
          </w:p>
        </w:tc>
        <w:tc>
          <w:tcPr>
            <w:tcW w:w="908" w:type="pct"/>
            <w:vAlign w:val="center"/>
          </w:tcPr>
          <w:p w14:paraId="7102B762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701" w:type="pct"/>
            <w:vAlign w:val="center"/>
          </w:tcPr>
          <w:p w14:paraId="10421A3F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52F5AF3D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4FB8A593" w14:textId="77777777">
        <w:trPr>
          <w:trHeight w:val="599"/>
          <w:jc w:val="center"/>
        </w:trPr>
        <w:tc>
          <w:tcPr>
            <w:tcW w:w="295" w:type="pct"/>
            <w:vAlign w:val="center"/>
          </w:tcPr>
          <w:p w14:paraId="4C5E9898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492" w:type="pct"/>
            <w:vAlign w:val="center"/>
          </w:tcPr>
          <w:p w14:paraId="6410D6BC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702" w:type="pct"/>
            <w:vAlign w:val="center"/>
          </w:tcPr>
          <w:p w14:paraId="750ACA21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调整3.1和3.2的顺序，“水肥一体化”定义中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中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包含“微灌”的概念，将两者顺序调换</w:t>
            </w:r>
          </w:p>
        </w:tc>
        <w:tc>
          <w:tcPr>
            <w:tcW w:w="908" w:type="pct"/>
            <w:vAlign w:val="center"/>
          </w:tcPr>
          <w:p w14:paraId="39F93A0B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太原理工大学、山西农业大学</w:t>
            </w:r>
          </w:p>
        </w:tc>
        <w:tc>
          <w:tcPr>
            <w:tcW w:w="701" w:type="pct"/>
            <w:vAlign w:val="center"/>
          </w:tcPr>
          <w:p w14:paraId="29347AC2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5D56383F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0CCE42E5" w14:textId="77777777">
        <w:trPr>
          <w:trHeight w:val="912"/>
          <w:jc w:val="center"/>
        </w:trPr>
        <w:tc>
          <w:tcPr>
            <w:tcW w:w="295" w:type="pct"/>
            <w:vAlign w:val="center"/>
          </w:tcPr>
          <w:p w14:paraId="79B4C653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492" w:type="pct"/>
            <w:vAlign w:val="center"/>
          </w:tcPr>
          <w:p w14:paraId="27295AC3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702" w:type="pct"/>
            <w:vAlign w:val="center"/>
          </w:tcPr>
          <w:p w14:paraId="788BA103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调整文本结构，将文本由原来的七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章调整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为六章，删除第4章“地块选择”</w:t>
            </w:r>
          </w:p>
        </w:tc>
        <w:tc>
          <w:tcPr>
            <w:tcW w:w="908" w:type="pct"/>
            <w:vAlign w:val="center"/>
          </w:tcPr>
          <w:p w14:paraId="1FACD672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</w:t>
            </w:r>
          </w:p>
        </w:tc>
        <w:tc>
          <w:tcPr>
            <w:tcW w:w="701" w:type="pct"/>
            <w:vAlign w:val="center"/>
          </w:tcPr>
          <w:p w14:paraId="44AB8BAF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041AA23A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3FB5B06E" w14:textId="77777777">
        <w:trPr>
          <w:trHeight w:val="599"/>
          <w:jc w:val="center"/>
        </w:trPr>
        <w:tc>
          <w:tcPr>
            <w:tcW w:w="295" w:type="pct"/>
            <w:vAlign w:val="center"/>
          </w:tcPr>
          <w:p w14:paraId="5FE90B07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492" w:type="pct"/>
            <w:vAlign w:val="center"/>
          </w:tcPr>
          <w:p w14:paraId="0A59027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4.1</w:t>
            </w:r>
          </w:p>
        </w:tc>
        <w:tc>
          <w:tcPr>
            <w:tcW w:w="1702" w:type="pct"/>
            <w:vAlign w:val="center"/>
          </w:tcPr>
          <w:p w14:paraId="13C00019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补充“水源与肥料”，补充肥料应符合的标准</w:t>
            </w:r>
          </w:p>
        </w:tc>
        <w:tc>
          <w:tcPr>
            <w:tcW w:w="908" w:type="pct"/>
            <w:vAlign w:val="center"/>
          </w:tcPr>
          <w:p w14:paraId="47D07E6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山西农业大学、山西省果业工作总站</w:t>
            </w:r>
          </w:p>
        </w:tc>
        <w:tc>
          <w:tcPr>
            <w:tcW w:w="701" w:type="pct"/>
            <w:vAlign w:val="center"/>
          </w:tcPr>
          <w:p w14:paraId="248DD531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70386CE0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13A273C5" w14:textId="77777777">
        <w:trPr>
          <w:trHeight w:val="856"/>
          <w:jc w:val="center"/>
        </w:trPr>
        <w:tc>
          <w:tcPr>
            <w:tcW w:w="295" w:type="pct"/>
            <w:vAlign w:val="center"/>
          </w:tcPr>
          <w:p w14:paraId="383E4AE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492" w:type="pct"/>
            <w:vAlign w:val="center"/>
          </w:tcPr>
          <w:p w14:paraId="48CC125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4.3</w:t>
            </w:r>
          </w:p>
        </w:tc>
        <w:tc>
          <w:tcPr>
            <w:tcW w:w="1702" w:type="pct"/>
            <w:vAlign w:val="center"/>
          </w:tcPr>
          <w:p w14:paraId="57E8D46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删除“过滤器”，“过滤器”属于“首部枢纽”</w:t>
            </w:r>
          </w:p>
        </w:tc>
        <w:tc>
          <w:tcPr>
            <w:tcW w:w="908" w:type="pct"/>
            <w:vAlign w:val="center"/>
          </w:tcPr>
          <w:p w14:paraId="1A290E6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太原理工大学</w:t>
            </w:r>
          </w:p>
        </w:tc>
        <w:tc>
          <w:tcPr>
            <w:tcW w:w="701" w:type="pct"/>
            <w:vAlign w:val="center"/>
          </w:tcPr>
          <w:p w14:paraId="3419FB27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63C4E56D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5FD0ECC1" w14:textId="77777777">
        <w:trPr>
          <w:trHeight w:val="1181"/>
          <w:jc w:val="center"/>
        </w:trPr>
        <w:tc>
          <w:tcPr>
            <w:tcW w:w="295" w:type="pct"/>
            <w:vAlign w:val="center"/>
          </w:tcPr>
          <w:p w14:paraId="5A4018FE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492" w:type="pct"/>
            <w:vAlign w:val="center"/>
          </w:tcPr>
          <w:p w14:paraId="680BAC9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1702" w:type="pct"/>
            <w:vAlign w:val="center"/>
          </w:tcPr>
          <w:p w14:paraId="22E9721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修改“水肥制度”的内容，将其修改为“一般要求”、“技术要点”和“注意事项”三部分</w:t>
            </w:r>
          </w:p>
        </w:tc>
        <w:tc>
          <w:tcPr>
            <w:tcW w:w="908" w:type="pct"/>
            <w:vAlign w:val="center"/>
          </w:tcPr>
          <w:p w14:paraId="70CB275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山西农业大学、太原理工大学</w:t>
            </w:r>
          </w:p>
        </w:tc>
        <w:tc>
          <w:tcPr>
            <w:tcW w:w="701" w:type="pct"/>
            <w:vAlign w:val="center"/>
          </w:tcPr>
          <w:p w14:paraId="3CB0EA8E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902" w:type="pct"/>
            <w:vAlign w:val="center"/>
          </w:tcPr>
          <w:p w14:paraId="6A231B08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</w:tbl>
    <w:p w14:paraId="6D1782B3" w14:textId="77777777" w:rsidR="00C54F04" w:rsidRDefault="00C54F04">
      <w:pPr>
        <w:jc w:val="center"/>
        <w:rPr>
          <w:rFonts w:ascii="仿宋_GB2312" w:eastAsia="仿宋_GB2312" w:hAnsi="宋体" w:hint="eastAsia"/>
          <w:color w:val="0000FF"/>
          <w:sz w:val="24"/>
        </w:rPr>
      </w:pPr>
    </w:p>
    <w:p w14:paraId="39FDFE05" w14:textId="77777777" w:rsidR="00C54F04" w:rsidRDefault="00C54F04">
      <w:pPr>
        <w:jc w:val="center"/>
        <w:rPr>
          <w:rFonts w:ascii="仿宋_GB2312" w:eastAsia="仿宋_GB2312" w:hAnsi="宋体" w:hint="eastAsia"/>
          <w:color w:val="0000FF"/>
          <w:sz w:val="24"/>
        </w:rPr>
      </w:pPr>
    </w:p>
    <w:p w14:paraId="6006DC5B" w14:textId="77777777" w:rsidR="00C54F04" w:rsidRDefault="00C54F04">
      <w:pPr>
        <w:jc w:val="center"/>
        <w:rPr>
          <w:rFonts w:ascii="仿宋_GB2312" w:eastAsia="仿宋_GB2312" w:hAnsi="宋体" w:hint="eastAsia"/>
          <w:color w:val="0000FF"/>
          <w:sz w:val="24"/>
        </w:rPr>
      </w:pPr>
    </w:p>
    <w:p w14:paraId="02408766" w14:textId="77777777" w:rsidR="00C54F04" w:rsidRDefault="00000000">
      <w:pPr>
        <w:jc w:val="center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《酥梨水肥一体化技术规程》地方标准征求意见汇总处理表</w:t>
      </w:r>
    </w:p>
    <w:p w14:paraId="0096FC98" w14:textId="77777777" w:rsidR="00C54F04" w:rsidRDefault="00000000">
      <w:pPr>
        <w:snapToGrid w:val="0"/>
        <w:spacing w:line="480" w:lineRule="exac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4"/>
        </w:rPr>
        <w:t>起草单位：山西农业大学等   承办人：</w:t>
      </w:r>
      <w:proofErr w:type="gramStart"/>
      <w:r>
        <w:rPr>
          <w:rFonts w:ascii="仿宋_GB2312" w:eastAsia="仿宋_GB2312" w:hAnsi="宋体" w:hint="eastAsia"/>
          <w:sz w:val="24"/>
        </w:rPr>
        <w:t>闫</w:t>
      </w:r>
      <w:proofErr w:type="gramEnd"/>
      <w:r>
        <w:rPr>
          <w:rFonts w:ascii="仿宋_GB2312" w:eastAsia="仿宋_GB2312" w:hAnsi="宋体" w:hint="eastAsia"/>
          <w:sz w:val="24"/>
        </w:rPr>
        <w:t xml:space="preserve">  敏         联系电话：13453440596           填写时间：2024年1月12日 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1544"/>
        <w:gridCol w:w="5120"/>
        <w:gridCol w:w="2506"/>
        <w:gridCol w:w="1672"/>
        <w:gridCol w:w="2417"/>
      </w:tblGrid>
      <w:tr w:rsidR="00C54F04" w14:paraId="3273CD99" w14:textId="77777777">
        <w:trPr>
          <w:trHeight w:val="599"/>
          <w:jc w:val="center"/>
        </w:trPr>
        <w:tc>
          <w:tcPr>
            <w:tcW w:w="243" w:type="pct"/>
            <w:vAlign w:val="center"/>
          </w:tcPr>
          <w:p w14:paraId="3B6510F6" w14:textId="77777777" w:rsidR="00C54F04" w:rsidRDefault="00000000">
            <w:pPr>
              <w:ind w:leftChars="-51" w:left="-107" w:firstLineChars="38" w:firstLine="91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554" w:type="pct"/>
            <w:vAlign w:val="center"/>
          </w:tcPr>
          <w:p w14:paraId="2F48919E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标准章条编号</w:t>
            </w:r>
            <w:proofErr w:type="gramEnd"/>
          </w:p>
        </w:tc>
        <w:tc>
          <w:tcPr>
            <w:tcW w:w="1837" w:type="pct"/>
            <w:vAlign w:val="center"/>
          </w:tcPr>
          <w:p w14:paraId="0E07227C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意见内容</w:t>
            </w:r>
          </w:p>
        </w:tc>
        <w:tc>
          <w:tcPr>
            <w:tcW w:w="899" w:type="pct"/>
            <w:vAlign w:val="center"/>
          </w:tcPr>
          <w:p w14:paraId="42C2987B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提出单位（或个人）</w:t>
            </w:r>
          </w:p>
        </w:tc>
        <w:tc>
          <w:tcPr>
            <w:tcW w:w="600" w:type="pct"/>
            <w:vAlign w:val="center"/>
          </w:tcPr>
          <w:p w14:paraId="3E6091AE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处理意见</w:t>
            </w:r>
          </w:p>
          <w:p w14:paraId="19C1A8BD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（采纳/不采纳）</w:t>
            </w:r>
          </w:p>
        </w:tc>
        <w:tc>
          <w:tcPr>
            <w:tcW w:w="863" w:type="pct"/>
            <w:vAlign w:val="center"/>
          </w:tcPr>
          <w:p w14:paraId="35731D0C" w14:textId="77777777" w:rsidR="00C54F04" w:rsidRDefault="00000000">
            <w:pPr>
              <w:spacing w:line="360" w:lineRule="auto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意见处理说明</w:t>
            </w:r>
          </w:p>
          <w:p w14:paraId="1C2E2CA7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（不采纳理由等）</w:t>
            </w:r>
          </w:p>
        </w:tc>
      </w:tr>
      <w:tr w:rsidR="00C54F04" w14:paraId="784DF65F" w14:textId="77777777">
        <w:trPr>
          <w:trHeight w:val="599"/>
          <w:jc w:val="center"/>
        </w:trPr>
        <w:tc>
          <w:tcPr>
            <w:tcW w:w="243" w:type="pct"/>
            <w:vAlign w:val="center"/>
          </w:tcPr>
          <w:p w14:paraId="1FA332A3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554" w:type="pct"/>
            <w:vAlign w:val="center"/>
          </w:tcPr>
          <w:p w14:paraId="52DA58B4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5.1</w:t>
            </w:r>
          </w:p>
        </w:tc>
        <w:tc>
          <w:tcPr>
            <w:tcW w:w="1837" w:type="pct"/>
            <w:vAlign w:val="center"/>
          </w:tcPr>
          <w:p w14:paraId="1D89C1CB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修改“一般要求”的内容，将灌溉时期一般分为花芽萌动期、新梢速长期、果实膨大期、采收后、封冻前五个时期。</w:t>
            </w:r>
          </w:p>
        </w:tc>
        <w:tc>
          <w:tcPr>
            <w:tcW w:w="899" w:type="pct"/>
            <w:vAlign w:val="center"/>
          </w:tcPr>
          <w:p w14:paraId="48DC3866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山西农业大学、山西省果业工作总站</w:t>
            </w:r>
          </w:p>
        </w:tc>
        <w:tc>
          <w:tcPr>
            <w:tcW w:w="600" w:type="pct"/>
            <w:vAlign w:val="center"/>
          </w:tcPr>
          <w:p w14:paraId="436C8EF9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863" w:type="pct"/>
            <w:vAlign w:val="center"/>
          </w:tcPr>
          <w:p w14:paraId="36B5D234" w14:textId="77777777" w:rsidR="00C54F04" w:rsidRDefault="00C54F04">
            <w:pPr>
              <w:pStyle w:val="a1"/>
              <w:numPr>
                <w:ilvl w:val="0"/>
                <w:numId w:val="0"/>
              </w:numPr>
              <w:spacing w:before="159" w:after="159" w:line="360" w:lineRule="auto"/>
              <w:rPr>
                <w:rFonts w:ascii="Times New Roman"/>
                <w:kern w:val="2"/>
                <w:sz w:val="24"/>
                <w:szCs w:val="24"/>
              </w:rPr>
            </w:pPr>
          </w:p>
        </w:tc>
      </w:tr>
      <w:tr w:rsidR="00C54F04" w14:paraId="7DBF5DE6" w14:textId="77777777">
        <w:trPr>
          <w:trHeight w:val="599"/>
          <w:jc w:val="center"/>
        </w:trPr>
        <w:tc>
          <w:tcPr>
            <w:tcW w:w="243" w:type="pct"/>
            <w:vAlign w:val="center"/>
          </w:tcPr>
          <w:p w14:paraId="61F1806A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554" w:type="pct"/>
            <w:vAlign w:val="center"/>
          </w:tcPr>
          <w:p w14:paraId="08D83D8D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5.2</w:t>
            </w:r>
          </w:p>
        </w:tc>
        <w:tc>
          <w:tcPr>
            <w:tcW w:w="1837" w:type="pct"/>
            <w:vAlign w:val="center"/>
          </w:tcPr>
          <w:p w14:paraId="6ABDF1EF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修改“技术要点”的内容，分为三点：“树形特征”、“灌溉量”和“施肥量”，并以列表的形式，根据不同产量水平确定施肥量</w:t>
            </w:r>
          </w:p>
        </w:tc>
        <w:tc>
          <w:tcPr>
            <w:tcW w:w="899" w:type="pct"/>
            <w:vAlign w:val="center"/>
          </w:tcPr>
          <w:p w14:paraId="13F74202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山西农业大学、太原理工大学</w:t>
            </w:r>
          </w:p>
        </w:tc>
        <w:tc>
          <w:tcPr>
            <w:tcW w:w="600" w:type="pct"/>
            <w:vAlign w:val="center"/>
          </w:tcPr>
          <w:p w14:paraId="0FABF496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863" w:type="pct"/>
            <w:vAlign w:val="center"/>
          </w:tcPr>
          <w:p w14:paraId="52D2D843" w14:textId="77777777" w:rsidR="00C54F04" w:rsidRDefault="0000000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。</w:t>
            </w:r>
          </w:p>
        </w:tc>
      </w:tr>
      <w:tr w:rsidR="00C54F04" w14:paraId="33E3BB51" w14:textId="77777777">
        <w:trPr>
          <w:trHeight w:val="599"/>
          <w:jc w:val="center"/>
        </w:trPr>
        <w:tc>
          <w:tcPr>
            <w:tcW w:w="243" w:type="pct"/>
            <w:vAlign w:val="center"/>
          </w:tcPr>
          <w:p w14:paraId="31823F69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554" w:type="pct"/>
            <w:vAlign w:val="center"/>
          </w:tcPr>
          <w:p w14:paraId="6CC7668C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编制说明第一章</w:t>
            </w:r>
          </w:p>
        </w:tc>
        <w:tc>
          <w:tcPr>
            <w:tcW w:w="1837" w:type="pct"/>
            <w:vAlign w:val="center"/>
          </w:tcPr>
          <w:p w14:paraId="38B60D09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补充任务来源的内容，详述了目前酥梨生产中存在的主要问题</w:t>
            </w:r>
          </w:p>
        </w:tc>
        <w:tc>
          <w:tcPr>
            <w:tcW w:w="899" w:type="pct"/>
            <w:vAlign w:val="center"/>
          </w:tcPr>
          <w:p w14:paraId="3B1ED5A1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山西农业大学、山西省果业工作总站</w:t>
            </w:r>
          </w:p>
        </w:tc>
        <w:tc>
          <w:tcPr>
            <w:tcW w:w="600" w:type="pct"/>
            <w:vAlign w:val="center"/>
          </w:tcPr>
          <w:p w14:paraId="28F666A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863" w:type="pct"/>
            <w:vAlign w:val="center"/>
          </w:tcPr>
          <w:p w14:paraId="0FCC83AA" w14:textId="77777777" w:rsidR="00C54F04" w:rsidRDefault="00C54F04">
            <w:pPr>
              <w:rPr>
                <w:sz w:val="24"/>
              </w:rPr>
            </w:pPr>
          </w:p>
        </w:tc>
      </w:tr>
      <w:tr w:rsidR="00C54F04" w14:paraId="3AE4687B" w14:textId="77777777">
        <w:trPr>
          <w:trHeight w:val="599"/>
          <w:jc w:val="center"/>
        </w:trPr>
        <w:tc>
          <w:tcPr>
            <w:tcW w:w="243" w:type="pct"/>
            <w:vAlign w:val="center"/>
          </w:tcPr>
          <w:p w14:paraId="4295F2DC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554" w:type="pct"/>
            <w:vAlign w:val="center"/>
          </w:tcPr>
          <w:p w14:paraId="0D92B2FF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编制说明第三章</w:t>
            </w:r>
          </w:p>
        </w:tc>
        <w:tc>
          <w:tcPr>
            <w:tcW w:w="1837" w:type="pct"/>
            <w:vAlign w:val="center"/>
          </w:tcPr>
          <w:p w14:paraId="4FE9A8A4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细化主要技术指标的验证方法，补充了试验结果的数据，对主要指标进行验证。</w:t>
            </w:r>
          </w:p>
        </w:tc>
        <w:tc>
          <w:tcPr>
            <w:tcW w:w="899" w:type="pct"/>
            <w:vAlign w:val="center"/>
          </w:tcPr>
          <w:p w14:paraId="51F78AC5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山西省农业科学院、山西省果业工作总站</w:t>
            </w:r>
          </w:p>
        </w:tc>
        <w:tc>
          <w:tcPr>
            <w:tcW w:w="600" w:type="pct"/>
            <w:vAlign w:val="center"/>
          </w:tcPr>
          <w:p w14:paraId="209396B0" w14:textId="77777777" w:rsidR="00C54F04" w:rsidRDefault="00000000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采纳</w:t>
            </w:r>
          </w:p>
        </w:tc>
        <w:tc>
          <w:tcPr>
            <w:tcW w:w="863" w:type="pct"/>
            <w:vAlign w:val="center"/>
          </w:tcPr>
          <w:p w14:paraId="59089FB9" w14:textId="77777777" w:rsidR="00C54F04" w:rsidRDefault="00C54F04">
            <w:pPr>
              <w:spacing w:line="360" w:lineRule="auto"/>
              <w:rPr>
                <w:sz w:val="24"/>
              </w:rPr>
            </w:pPr>
          </w:p>
        </w:tc>
      </w:tr>
      <w:tr w:rsidR="00C54F04" w14:paraId="07155BB8" w14:textId="77777777">
        <w:trPr>
          <w:trHeight w:val="599"/>
          <w:jc w:val="center"/>
        </w:trPr>
        <w:tc>
          <w:tcPr>
            <w:tcW w:w="5000" w:type="pct"/>
            <w:gridSpan w:val="6"/>
            <w:vAlign w:val="center"/>
          </w:tcPr>
          <w:p w14:paraId="6788FC37" w14:textId="77777777" w:rsidR="00C54F04" w:rsidRDefault="00000000">
            <w:pPr>
              <w:spacing w:line="360" w:lineRule="auto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说明：1.针对明确回复无意见的单位，请在“意见内容”中注明无意见，在“提出单位”列出无意见单位名称</w:t>
            </w:r>
            <w:r>
              <w:rPr>
                <w:rFonts w:hint="eastAsia"/>
                <w:sz w:val="24"/>
              </w:rPr>
              <w:t>。</w:t>
            </w:r>
          </w:p>
          <w:p w14:paraId="0D40B967" w14:textId="77777777" w:rsidR="00C54F04" w:rsidRDefault="0000000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2.发送征求意见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稿单位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数4个；回到征求意见稿回函的单位数4个；收到征求意见稿并提出意见的单位数4个；没有回函的单位数0个；共收到10条意见；采纳10条意见，部分采纳0条意见，未采纳0条意见。</w:t>
            </w:r>
          </w:p>
        </w:tc>
      </w:tr>
    </w:tbl>
    <w:p w14:paraId="596C5744" w14:textId="77777777" w:rsidR="00C54F04" w:rsidRDefault="00C54F04">
      <w:pPr>
        <w:jc w:val="center"/>
        <w:rPr>
          <w:rFonts w:ascii="仿宋_GB2312" w:eastAsia="仿宋_GB2312" w:hAnsi="宋体" w:hint="eastAsia"/>
          <w:color w:val="0000FF"/>
          <w:sz w:val="24"/>
        </w:rPr>
      </w:pPr>
    </w:p>
    <w:sectPr w:rsidR="00C54F04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2D772" w14:textId="77777777" w:rsidR="001C79BD" w:rsidRDefault="001C79BD">
      <w:r>
        <w:separator/>
      </w:r>
    </w:p>
  </w:endnote>
  <w:endnote w:type="continuationSeparator" w:id="0">
    <w:p w14:paraId="686A8C71" w14:textId="77777777" w:rsidR="001C79BD" w:rsidRDefault="001C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454D8" w14:textId="77777777" w:rsidR="00C54F04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5907B723" w14:textId="77777777" w:rsidR="00C54F04" w:rsidRDefault="00C54F0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8899690"/>
      <w:docPartObj>
        <w:docPartGallery w:val="Page Numbers (Bottom of Page)"/>
        <w:docPartUnique/>
      </w:docPartObj>
    </w:sdtPr>
    <w:sdtContent>
      <w:p w14:paraId="34CB4F79" w14:textId="711AFF0C" w:rsidR="00CF366B" w:rsidRDefault="00CF366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EDF30B2" w14:textId="77777777" w:rsidR="00CF366B" w:rsidRDefault="00CF366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5D72C" w14:textId="77777777" w:rsidR="001C79BD" w:rsidRDefault="001C79BD">
      <w:r>
        <w:separator/>
      </w:r>
    </w:p>
  </w:footnote>
  <w:footnote w:type="continuationSeparator" w:id="0">
    <w:p w14:paraId="6270729A" w14:textId="77777777" w:rsidR="001C79BD" w:rsidRDefault="001C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4D4C195B"/>
    <w:multiLevelType w:val="multilevel"/>
    <w:tmpl w:val="0000000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default"/>
        <w:sz w:val="21"/>
        <w:u w:val="none"/>
      </w:rPr>
    </w:lvl>
    <w:lvl w:ilvl="1">
      <w:start w:val="1"/>
      <w:numFmt w:val="decimal"/>
      <w:suff w:val="nothing"/>
      <w:lvlText w:val="%1.%2　"/>
      <w:lvlJc w:val="left"/>
      <w:pPr>
        <w:ind w:left="360" w:firstLine="0"/>
      </w:pPr>
      <w:rPr>
        <w:rFonts w:ascii="Times New Roman" w:eastAsia="宋体" w:hAnsi="Times New Roman" w:hint="default"/>
        <w:color w:val="auto"/>
        <w:kern w:val="2"/>
        <w:sz w:val="21"/>
        <w:u w:val="none"/>
        <w:lang w:val="en-US" w:eastAsia="zh-CN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540" w:firstLine="0"/>
      </w:pPr>
      <w:rPr>
        <w:rFonts w:ascii="黑体" w:eastAsia="黑体" w:hAnsi="Times New Roman" w:hint="default"/>
        <w:sz w:val="21"/>
        <w:u w:val="none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default"/>
        <w:sz w:val="21"/>
        <w:u w:val="none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default"/>
        <w:sz w:val="21"/>
        <w:u w:val="none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default"/>
        <w:sz w:val="21"/>
        <w:u w:val="none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default"/>
        <w:sz w:val="21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asci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ascii="Times New Roman" w:hint="default"/>
        <w:u w:val="none"/>
      </w:rPr>
    </w:lvl>
  </w:abstractNum>
  <w:abstractNum w:abstractNumId="3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2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num w:numId="1" w16cid:durableId="80030450">
    <w:abstractNumId w:val="1"/>
  </w:num>
  <w:num w:numId="2" w16cid:durableId="1377851208">
    <w:abstractNumId w:val="3"/>
  </w:num>
  <w:num w:numId="3" w16cid:durableId="367487494">
    <w:abstractNumId w:val="2"/>
  </w:num>
  <w:num w:numId="4" w16cid:durableId="84786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c2Y2I4ZTQ1YjAxMzBjM2UzZDZjMGJkY2U3OTQ2NjA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396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C79BD"/>
    <w:rsid w:val="001D06C4"/>
    <w:rsid w:val="001D0957"/>
    <w:rsid w:val="001D7128"/>
    <w:rsid w:val="001E486F"/>
    <w:rsid w:val="001F1CD3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08DE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0E43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37EE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02F8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C2EEF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5524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4F7"/>
    <w:rsid w:val="00767B97"/>
    <w:rsid w:val="0077176C"/>
    <w:rsid w:val="00772C34"/>
    <w:rsid w:val="00773A15"/>
    <w:rsid w:val="007743EC"/>
    <w:rsid w:val="00776852"/>
    <w:rsid w:val="00776D66"/>
    <w:rsid w:val="00777B27"/>
    <w:rsid w:val="0079035A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9F7AC9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BF260D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4F04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366B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147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137B0DD6"/>
    <w:rsid w:val="20EC75B1"/>
    <w:rsid w:val="332C3305"/>
    <w:rsid w:val="3D25D500"/>
    <w:rsid w:val="3EEF98DD"/>
    <w:rsid w:val="3F9FD22F"/>
    <w:rsid w:val="439D244F"/>
    <w:rsid w:val="470749E1"/>
    <w:rsid w:val="4F7B247E"/>
    <w:rsid w:val="57D94567"/>
    <w:rsid w:val="58006EC2"/>
    <w:rsid w:val="5CFF1606"/>
    <w:rsid w:val="5DFFCE9C"/>
    <w:rsid w:val="5E655CD1"/>
    <w:rsid w:val="5FB81DCD"/>
    <w:rsid w:val="63BD8BA4"/>
    <w:rsid w:val="6BFEE3C0"/>
    <w:rsid w:val="6BFF0146"/>
    <w:rsid w:val="6EFD90F7"/>
    <w:rsid w:val="6FED5B27"/>
    <w:rsid w:val="72DE18B7"/>
    <w:rsid w:val="7329008F"/>
    <w:rsid w:val="77C6AB6B"/>
    <w:rsid w:val="77FF4F98"/>
    <w:rsid w:val="79D06A6D"/>
    <w:rsid w:val="79FF0142"/>
    <w:rsid w:val="7BFB120F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6EC7BC"/>
  <w15:docId w15:val="{C646B1FC-5018-4087-9FBC-A6D3D12F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0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3"/>
    <w:next w:val="a3"/>
    <w:link w:val="30"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caption"/>
    <w:basedOn w:val="a3"/>
    <w:next w:val="a3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8">
    <w:name w:val="Body Text"/>
    <w:basedOn w:val="a3"/>
    <w:link w:val="a9"/>
    <w:qFormat/>
    <w:pPr>
      <w:spacing w:after="120"/>
    </w:pPr>
  </w:style>
  <w:style w:type="paragraph" w:styleId="aa">
    <w:name w:val="Date"/>
    <w:basedOn w:val="a3"/>
    <w:next w:val="a3"/>
    <w:link w:val="ab"/>
    <w:uiPriority w:val="99"/>
    <w:semiHidden/>
    <w:unhideWhenUsed/>
    <w:qFormat/>
    <w:pPr>
      <w:ind w:leftChars="2500" w:left="100"/>
    </w:pPr>
  </w:style>
  <w:style w:type="paragraph" w:styleId="ac">
    <w:name w:val="Balloon Text"/>
    <w:basedOn w:val="a3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3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3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3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f2">
    <w:name w:val="Table Grid"/>
    <w:basedOn w:val="a5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99"/>
    <w:qFormat/>
    <w:rPr>
      <w:rFonts w:cs="Times New Roman"/>
      <w:b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f4">
    <w:name w:val="List Paragraph"/>
    <w:basedOn w:val="a3"/>
    <w:uiPriority w:val="99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5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f5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af1">
    <w:name w:val="页眉 字符"/>
    <w:link w:val="af0"/>
    <w:uiPriority w:val="99"/>
    <w:qFormat/>
    <w:rPr>
      <w:sz w:val="18"/>
      <w:szCs w:val="18"/>
    </w:rPr>
  </w:style>
  <w:style w:type="character" w:customStyle="1" w:styleId="af">
    <w:name w:val="页脚 字符"/>
    <w:link w:val="ae"/>
    <w:uiPriority w:val="99"/>
    <w:qFormat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qFormat/>
    <w:rPr>
      <w:kern w:val="2"/>
      <w:sz w:val="18"/>
      <w:szCs w:val="18"/>
    </w:rPr>
  </w:style>
  <w:style w:type="table" w:customStyle="1" w:styleId="11">
    <w:name w:val="浅色底纹1"/>
    <w:basedOn w:val="a5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5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b">
    <w:name w:val="日期 字符"/>
    <w:basedOn w:val="a4"/>
    <w:link w:val="aa"/>
    <w:uiPriority w:val="99"/>
    <w:semiHidden/>
    <w:qFormat/>
    <w:rPr>
      <w:kern w:val="2"/>
      <w:sz w:val="21"/>
      <w:szCs w:val="24"/>
    </w:rPr>
  </w:style>
  <w:style w:type="character" w:customStyle="1" w:styleId="a9">
    <w:name w:val="正文文本 字符"/>
    <w:basedOn w:val="a4"/>
    <w:link w:val="a8"/>
    <w:qFormat/>
    <w:rPr>
      <w:kern w:val="2"/>
      <w:sz w:val="21"/>
      <w:szCs w:val="24"/>
    </w:rPr>
  </w:style>
  <w:style w:type="paragraph" w:customStyle="1" w:styleId="af6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6"/>
    <w:qFormat/>
    <w:rPr>
      <w:rFonts w:ascii="宋体"/>
      <w:sz w:val="21"/>
    </w:rPr>
  </w:style>
  <w:style w:type="paragraph" w:customStyle="1" w:styleId="a">
    <w:name w:val="一级条标题"/>
    <w:next w:val="a3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3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附录表标题"/>
    <w:basedOn w:val="a3"/>
    <w:next w:val="af5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1">
    <w:name w:val="二级无"/>
    <w:basedOn w:val="a0"/>
    <w:pPr>
      <w:numPr>
        <w:numId w:val="3"/>
      </w:numPr>
      <w:spacing w:before="0" w:after="0"/>
      <w:ind w:left="0"/>
    </w:pPr>
    <w:rPr>
      <w:rFonts w:ascii="宋体"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942</Words>
  <Characters>5373</Characters>
  <Application>Microsoft Office Word</Application>
  <DocSecurity>0</DocSecurity>
  <Lines>44</Lines>
  <Paragraphs>12</Paragraphs>
  <ScaleCrop>false</ScaleCrop>
  <Company>Lenovo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倩 李</cp:lastModifiedBy>
  <cp:revision>7</cp:revision>
  <cp:lastPrinted>2024-08-02T07:13:00Z</cp:lastPrinted>
  <dcterms:created xsi:type="dcterms:W3CDTF">2024-08-02T07:08:00Z</dcterms:created>
  <dcterms:modified xsi:type="dcterms:W3CDTF">2024-08-02T07:45:00Z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66FDE2E2ABC9459E8BC14EBF100A8BD2_13</vt:lpwstr>
  </property>
</Properties>
</file>